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CF5" w:rsidRPr="00F91F9C" w:rsidRDefault="00351CF5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sz w:val="20"/>
          <w:szCs w:val="20"/>
        </w:rPr>
      </w:pPr>
    </w:p>
    <w:p w:rsidR="002C3929" w:rsidRPr="00B22F56" w:rsidRDefault="00C37352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u w:val="single"/>
        </w:rPr>
      </w:pPr>
      <w:r w:rsidRPr="00B22F56">
        <w:rPr>
          <w:b/>
          <w:u w:val="single"/>
        </w:rPr>
        <w:t>ANNEXE 1</w:t>
      </w:r>
    </w:p>
    <w:p w:rsidR="00BC5B4D" w:rsidRPr="00B22F56" w:rsidRDefault="003B6D8E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u w:val="single"/>
        </w:rPr>
      </w:pPr>
      <w:r w:rsidRPr="00B22F56">
        <w:rPr>
          <w:b/>
          <w:u w:val="single"/>
        </w:rPr>
        <w:t>CAMPAGNE D’AGREMENT A LA MAITRISE D’APPRENTISSAGE</w:t>
      </w:r>
      <w:r w:rsidR="00572716" w:rsidRPr="00B22F56">
        <w:rPr>
          <w:b/>
          <w:u w:val="single"/>
        </w:rPr>
        <w:t xml:space="preserve"> 20</w:t>
      </w:r>
      <w:r w:rsidR="006A7DD6">
        <w:rPr>
          <w:b/>
          <w:u w:val="single"/>
        </w:rPr>
        <w:t>2</w:t>
      </w:r>
      <w:r w:rsidR="005D00CA">
        <w:rPr>
          <w:b/>
          <w:u w:val="single"/>
        </w:rPr>
        <w:t>3</w:t>
      </w:r>
      <w:r w:rsidR="00D76197" w:rsidRPr="00B22F56">
        <w:rPr>
          <w:b/>
          <w:u w:val="single"/>
        </w:rPr>
        <w:t>-202</w:t>
      </w:r>
      <w:r w:rsidR="005D00CA">
        <w:rPr>
          <w:b/>
          <w:u w:val="single"/>
        </w:rPr>
        <w:t>4</w:t>
      </w:r>
    </w:p>
    <w:p w:rsidR="00C3348F" w:rsidRPr="00B22F56" w:rsidRDefault="00C3348F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sz w:val="20"/>
          <w:szCs w:val="20"/>
          <w:u w:val="single"/>
        </w:rPr>
      </w:pPr>
    </w:p>
    <w:p w:rsidR="00793BF7" w:rsidRPr="00793BF7" w:rsidRDefault="00793BF7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sz w:val="19"/>
          <w:szCs w:val="19"/>
        </w:rPr>
      </w:pPr>
      <w:r w:rsidRPr="00793BF7">
        <w:rPr>
          <w:b/>
          <w:sz w:val="19"/>
          <w:szCs w:val="19"/>
        </w:rPr>
        <w:t>Demandes d’agrément déposées par les Présidents de Centre ou Directeurs des Services d’Appui</w:t>
      </w:r>
    </w:p>
    <w:p w:rsidR="00793BF7" w:rsidRPr="00F91F9C" w:rsidRDefault="00793BF7" w:rsidP="00351CF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60" w:lineRule="exact"/>
        <w:jc w:val="center"/>
        <w:rPr>
          <w:b/>
          <w:sz w:val="20"/>
          <w:szCs w:val="20"/>
          <w:u w:val="single"/>
        </w:rPr>
      </w:pPr>
    </w:p>
    <w:p w:rsidR="00F549E8" w:rsidRDefault="00F549E8" w:rsidP="00572716">
      <w:pPr>
        <w:jc w:val="both"/>
        <w:rPr>
          <w:sz w:val="20"/>
          <w:szCs w:val="20"/>
        </w:rPr>
      </w:pPr>
    </w:p>
    <w:p w:rsidR="00F549E8" w:rsidRDefault="00F549E8" w:rsidP="00572716">
      <w:pPr>
        <w:jc w:val="both"/>
        <w:rPr>
          <w:sz w:val="20"/>
          <w:szCs w:val="20"/>
        </w:rPr>
      </w:pPr>
    </w:p>
    <w:p w:rsidR="00572716" w:rsidRPr="00B22F56" w:rsidRDefault="00572716" w:rsidP="00572716">
      <w:pPr>
        <w:jc w:val="both"/>
        <w:rPr>
          <w:b/>
          <w:sz w:val="20"/>
          <w:szCs w:val="20"/>
        </w:rPr>
      </w:pPr>
      <w:r w:rsidRPr="00B22F56">
        <w:rPr>
          <w:sz w:val="20"/>
          <w:szCs w:val="20"/>
        </w:rPr>
        <w:t xml:space="preserve">Une nouvelle campagne d’agrément à la maîtrise d’apprentissage va commencer, en application de la note de service n°2004-34 du 2 juin 2004 </w:t>
      </w:r>
      <w:r w:rsidR="00A812E1">
        <w:rPr>
          <w:sz w:val="20"/>
          <w:szCs w:val="20"/>
        </w:rPr>
        <w:t xml:space="preserve">modifiée </w:t>
      </w:r>
      <w:r w:rsidR="00470957">
        <w:rPr>
          <w:sz w:val="20"/>
          <w:szCs w:val="20"/>
        </w:rPr>
        <w:t>relative à l’apprentissage</w:t>
      </w:r>
      <w:r w:rsidRPr="00B22F56">
        <w:rPr>
          <w:sz w:val="20"/>
          <w:szCs w:val="20"/>
        </w:rPr>
        <w:t>.</w:t>
      </w:r>
      <w:r w:rsidR="005D00CA">
        <w:rPr>
          <w:sz w:val="20"/>
          <w:szCs w:val="20"/>
        </w:rPr>
        <w:t xml:space="preserve"> Pour cette promotion, il est prévu </w:t>
      </w:r>
      <w:r w:rsidR="00B921AC">
        <w:rPr>
          <w:b/>
          <w:sz w:val="20"/>
          <w:szCs w:val="20"/>
        </w:rPr>
        <w:t>40</w:t>
      </w:r>
      <w:r w:rsidR="005D00CA">
        <w:rPr>
          <w:b/>
          <w:sz w:val="20"/>
          <w:szCs w:val="20"/>
        </w:rPr>
        <w:t xml:space="preserve"> possibilités de recrutement d’apprentis.</w:t>
      </w:r>
      <w:r w:rsidR="005D00CA">
        <w:rPr>
          <w:sz w:val="20"/>
          <w:szCs w:val="20"/>
        </w:rPr>
        <w:t xml:space="preserve"> En plus de ces </w:t>
      </w:r>
      <w:r w:rsidR="00B921AC">
        <w:rPr>
          <w:sz w:val="20"/>
          <w:szCs w:val="20"/>
        </w:rPr>
        <w:t>40</w:t>
      </w:r>
      <w:r w:rsidR="005D00CA">
        <w:rPr>
          <w:sz w:val="20"/>
          <w:szCs w:val="20"/>
        </w:rPr>
        <w:t xml:space="preserve"> postes, </w:t>
      </w:r>
      <w:r w:rsidR="005D00CA" w:rsidRPr="005D00CA">
        <w:rPr>
          <w:sz w:val="20"/>
          <w:szCs w:val="20"/>
          <w:u w:val="single"/>
        </w:rPr>
        <w:t>les</w:t>
      </w:r>
      <w:r w:rsidR="00BF46E6" w:rsidRPr="005D00CA">
        <w:rPr>
          <w:sz w:val="20"/>
          <w:szCs w:val="20"/>
          <w:u w:val="single"/>
        </w:rPr>
        <w:t xml:space="preserve"> </w:t>
      </w:r>
      <w:r w:rsidR="00C56F30" w:rsidRPr="00784BAD">
        <w:rPr>
          <w:sz w:val="20"/>
          <w:szCs w:val="20"/>
          <w:u w:val="single"/>
        </w:rPr>
        <w:t xml:space="preserve">unités </w:t>
      </w:r>
      <w:r w:rsidR="00115052" w:rsidRPr="00784BAD">
        <w:rPr>
          <w:sz w:val="20"/>
          <w:szCs w:val="20"/>
          <w:u w:val="single"/>
        </w:rPr>
        <w:t xml:space="preserve">ont </w:t>
      </w:r>
      <w:r w:rsidR="00BF46E6">
        <w:rPr>
          <w:sz w:val="20"/>
          <w:szCs w:val="20"/>
          <w:u w:val="single"/>
        </w:rPr>
        <w:t xml:space="preserve">toujours </w:t>
      </w:r>
      <w:r w:rsidR="00115052" w:rsidRPr="00784BAD">
        <w:rPr>
          <w:sz w:val="20"/>
          <w:szCs w:val="20"/>
          <w:u w:val="single"/>
        </w:rPr>
        <w:t>la possibilité de financer sur leurs fonds propres des postes supplémentair</w:t>
      </w:r>
      <w:r w:rsidR="00B22F56" w:rsidRPr="00784BAD">
        <w:rPr>
          <w:sz w:val="20"/>
          <w:szCs w:val="20"/>
          <w:u w:val="single"/>
        </w:rPr>
        <w:t>es</w:t>
      </w:r>
      <w:r w:rsidR="00251EDF" w:rsidRPr="00784BAD">
        <w:rPr>
          <w:rStyle w:val="Appelnotedebasdep"/>
          <w:sz w:val="20"/>
          <w:szCs w:val="20"/>
          <w:u w:val="single"/>
        </w:rPr>
        <w:footnoteReference w:id="1"/>
      </w:r>
      <w:r w:rsidR="00B22F56" w:rsidRPr="00B22F56">
        <w:rPr>
          <w:sz w:val="20"/>
          <w:szCs w:val="20"/>
        </w:rPr>
        <w:t>. Ces postes restent soumis à l’instruction des membres de la commission paritaire apprentissage.</w:t>
      </w:r>
    </w:p>
    <w:p w:rsidR="00572716" w:rsidRPr="00E1326F" w:rsidRDefault="00572716" w:rsidP="00572716">
      <w:pPr>
        <w:jc w:val="both"/>
        <w:rPr>
          <w:color w:val="000000"/>
          <w:sz w:val="20"/>
          <w:szCs w:val="20"/>
        </w:rPr>
      </w:pPr>
    </w:p>
    <w:p w:rsidR="00572716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>Cette campagne d’agrément se déroulera selon les principes posés par la note de service susmentionnée, notamment l’ouverture de ce dispositif</w:t>
      </w:r>
      <w:r w:rsidR="00B93653">
        <w:rPr>
          <w:sz w:val="20"/>
          <w:szCs w:val="20"/>
        </w:rPr>
        <w:t>, sans limite d’âge,</w:t>
      </w:r>
      <w:r w:rsidRPr="00B93F2D">
        <w:rPr>
          <w:sz w:val="20"/>
          <w:szCs w:val="20"/>
        </w:rPr>
        <w:t xml:space="preserve"> aux étudiants en situation de handicap et titulaires d’un des titres énoncés à l’article L.5212-13 du Code du Travail. A cet égard, l’apprentissage contribue au développement de la politique menée par l’établissement en matière de handicap et à la diversité des accueils de collaborateurs handicapés.</w:t>
      </w:r>
    </w:p>
    <w:p w:rsidR="008114FE" w:rsidRDefault="008114FE" w:rsidP="00572716">
      <w:pPr>
        <w:jc w:val="both"/>
        <w:rPr>
          <w:sz w:val="20"/>
          <w:szCs w:val="20"/>
        </w:rPr>
      </w:pPr>
    </w:p>
    <w:p w:rsidR="008114FE" w:rsidRPr="00B93F2D" w:rsidRDefault="008114FE" w:rsidP="00572716">
      <w:pPr>
        <w:jc w:val="both"/>
        <w:rPr>
          <w:sz w:val="20"/>
          <w:szCs w:val="20"/>
        </w:rPr>
      </w:pPr>
      <w:r w:rsidRPr="00B22F56">
        <w:rPr>
          <w:sz w:val="20"/>
          <w:szCs w:val="20"/>
        </w:rPr>
        <w:t>Dans les prochaines semaines, nous ne manquerons pas de vous transmettre les éventuelles candidatures d’apprentis</w:t>
      </w:r>
      <w:r w:rsidR="00B7693A" w:rsidRPr="00B22F56">
        <w:rPr>
          <w:sz w:val="20"/>
          <w:szCs w:val="20"/>
        </w:rPr>
        <w:t xml:space="preserve"> qui nous parviendraient</w:t>
      </w:r>
      <w:r w:rsidRPr="00B22F5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b/>
          <w:sz w:val="20"/>
          <w:szCs w:val="20"/>
          <w:u w:val="single"/>
        </w:rPr>
      </w:pPr>
      <w:r w:rsidRPr="00B93F2D">
        <w:rPr>
          <w:b/>
          <w:sz w:val="20"/>
          <w:szCs w:val="20"/>
          <w:u w:val="single"/>
        </w:rPr>
        <w:t>I. Coordination du dispositif et constitution des dossiers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 xml:space="preserve">La coordination du dispositif de l’apprentissage est effectuée par </w:t>
      </w:r>
      <w:r w:rsidRPr="00B93F2D">
        <w:rPr>
          <w:sz w:val="20"/>
          <w:szCs w:val="20"/>
          <w:u w:val="single"/>
        </w:rPr>
        <w:t xml:space="preserve">les Présidents de </w:t>
      </w:r>
      <w:r w:rsidR="00F549E8">
        <w:rPr>
          <w:sz w:val="20"/>
          <w:szCs w:val="20"/>
          <w:u w:val="single"/>
        </w:rPr>
        <w:t>C</w:t>
      </w:r>
      <w:r w:rsidRPr="00B93F2D">
        <w:rPr>
          <w:sz w:val="20"/>
          <w:szCs w:val="20"/>
          <w:u w:val="single"/>
        </w:rPr>
        <w:t>entre et les Directeurs des Services d’Appui</w:t>
      </w:r>
      <w:r w:rsidRPr="00B93F2D">
        <w:rPr>
          <w:sz w:val="20"/>
          <w:szCs w:val="20"/>
        </w:rPr>
        <w:t xml:space="preserve"> au niveau local. Sous leur responsabilité, les acteurs locaux de</w:t>
      </w:r>
      <w:r>
        <w:rPr>
          <w:sz w:val="20"/>
          <w:szCs w:val="20"/>
        </w:rPr>
        <w:t xml:space="preserve"> la</w:t>
      </w:r>
      <w:r w:rsidRPr="00B93F2D">
        <w:rPr>
          <w:sz w:val="20"/>
          <w:szCs w:val="20"/>
        </w:rPr>
        <w:t xml:space="preserve"> GRHP, à savoir le </w:t>
      </w:r>
      <w:r w:rsidRPr="00B93F2D">
        <w:rPr>
          <w:sz w:val="20"/>
          <w:szCs w:val="20"/>
          <w:u w:val="single"/>
        </w:rPr>
        <w:t xml:space="preserve">Responsable local de la Formation, le Responsable </w:t>
      </w:r>
      <w:r w:rsidR="00B921AC">
        <w:rPr>
          <w:sz w:val="20"/>
          <w:szCs w:val="20"/>
          <w:u w:val="single"/>
        </w:rPr>
        <w:t>administratif</w:t>
      </w:r>
      <w:r w:rsidRPr="00B93F2D">
        <w:rPr>
          <w:sz w:val="20"/>
          <w:szCs w:val="20"/>
          <w:u w:val="single"/>
        </w:rPr>
        <w:t xml:space="preserve"> du personnel et le Chargé des Ressources Humaines de proximité,</w:t>
      </w:r>
      <w:r w:rsidRPr="00B93F2D">
        <w:rPr>
          <w:sz w:val="20"/>
          <w:szCs w:val="20"/>
        </w:rPr>
        <w:t xml:space="preserve"> sont appelés plus particulièrement à s’impliquer. Le </w:t>
      </w:r>
      <w:r w:rsidR="00F07639">
        <w:rPr>
          <w:sz w:val="20"/>
          <w:szCs w:val="20"/>
          <w:u w:val="single"/>
        </w:rPr>
        <w:t>Conseiller</w:t>
      </w:r>
      <w:r w:rsidRPr="00B93F2D">
        <w:rPr>
          <w:sz w:val="20"/>
          <w:szCs w:val="20"/>
          <w:u w:val="single"/>
        </w:rPr>
        <w:t xml:space="preserve"> prévention</w:t>
      </w:r>
      <w:r w:rsidRPr="00B93F2D">
        <w:rPr>
          <w:sz w:val="20"/>
          <w:szCs w:val="20"/>
        </w:rPr>
        <w:t xml:space="preserve"> de centre doit également être consulté sur le projet d’accueil d’un apprenti. 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 xml:space="preserve">Les conditions générales d’accueil des apprentis ont été précisées dans une note de </w:t>
      </w:r>
      <w:smartTag w:uri="urn:schemas-microsoft-com:office:smarttags" w:element="PersonName">
        <w:smartTagPr>
          <w:attr w:name="ProductID" w:val="la Direction"/>
        </w:smartTagPr>
        <w:r w:rsidRPr="00B93F2D">
          <w:rPr>
            <w:sz w:val="20"/>
            <w:szCs w:val="20"/>
          </w:rPr>
          <w:t>la Direction</w:t>
        </w:r>
      </w:smartTag>
      <w:r w:rsidRPr="00B93F2D">
        <w:rPr>
          <w:sz w:val="20"/>
          <w:szCs w:val="20"/>
        </w:rPr>
        <w:t xml:space="preserve"> générale en date </w:t>
      </w:r>
      <w:r w:rsidRPr="00B22F56">
        <w:rPr>
          <w:sz w:val="20"/>
          <w:szCs w:val="20"/>
        </w:rPr>
        <w:t xml:space="preserve">du 29 décembre 2000 </w:t>
      </w:r>
      <w:r w:rsidR="00C37352" w:rsidRPr="00B22F56">
        <w:rPr>
          <w:i/>
          <w:sz w:val="20"/>
          <w:szCs w:val="20"/>
        </w:rPr>
        <w:t>(Cf. annexe</w:t>
      </w:r>
      <w:r w:rsidR="00C37352">
        <w:rPr>
          <w:i/>
          <w:sz w:val="20"/>
          <w:szCs w:val="20"/>
        </w:rPr>
        <w:t xml:space="preserve"> 3</w:t>
      </w:r>
      <w:r w:rsidRPr="00B93F2D">
        <w:rPr>
          <w:i/>
          <w:sz w:val="20"/>
          <w:szCs w:val="20"/>
        </w:rPr>
        <w:t>).</w:t>
      </w:r>
      <w:r w:rsidRPr="00B93F2D">
        <w:rPr>
          <w:sz w:val="20"/>
          <w:szCs w:val="20"/>
        </w:rPr>
        <w:t xml:space="preserve"> Dans ce cadre, il est notamment demandé aux Directeurs d’unité souhaitant accueillir un apprenti de veiller à ce que celui-ci bénéficie d’un encadrement suffisant et d’une formation en matière d’hygiène et de sécurité.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>De plus</w:t>
      </w:r>
      <w:r w:rsidR="00B93653">
        <w:rPr>
          <w:sz w:val="20"/>
          <w:szCs w:val="20"/>
        </w:rPr>
        <w:t>,</w:t>
      </w:r>
      <w:r w:rsidRPr="00B93F2D">
        <w:rPr>
          <w:sz w:val="20"/>
          <w:szCs w:val="20"/>
        </w:rPr>
        <w:t xml:space="preserve"> les maîtres d’apprentissage sont invités à prendre l’attache du </w:t>
      </w:r>
      <w:r w:rsidR="00F07639">
        <w:rPr>
          <w:sz w:val="20"/>
          <w:szCs w:val="20"/>
          <w:u w:val="single"/>
        </w:rPr>
        <w:t>Conseiller</w:t>
      </w:r>
      <w:r w:rsidRPr="00B93F2D">
        <w:rPr>
          <w:sz w:val="20"/>
          <w:szCs w:val="20"/>
          <w:u w:val="single"/>
        </w:rPr>
        <w:t xml:space="preserve"> prévention</w:t>
      </w:r>
      <w:r w:rsidRPr="00B93F2D">
        <w:rPr>
          <w:sz w:val="20"/>
          <w:szCs w:val="20"/>
        </w:rPr>
        <w:t xml:space="preserve"> du centre qui pourra préciser les restrictions de travaux ainsi que les mesures dérogatoires applicables aux apprentis dans le respect de la réglementation relative à la médecine d</w:t>
      </w:r>
      <w:r w:rsidR="00B921AC">
        <w:rPr>
          <w:sz w:val="20"/>
          <w:szCs w:val="20"/>
        </w:rPr>
        <w:t>u travail</w:t>
      </w:r>
      <w:r w:rsidRPr="00B93F2D">
        <w:rPr>
          <w:sz w:val="20"/>
          <w:szCs w:val="20"/>
        </w:rPr>
        <w:t>.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Default="00572716" w:rsidP="00572716">
      <w:pPr>
        <w:spacing w:after="120"/>
        <w:jc w:val="both"/>
        <w:rPr>
          <w:sz w:val="20"/>
          <w:szCs w:val="20"/>
        </w:rPr>
      </w:pPr>
      <w:r w:rsidRPr="00B93F2D">
        <w:rPr>
          <w:sz w:val="20"/>
          <w:szCs w:val="20"/>
        </w:rPr>
        <w:t>S’agissant de la constitution des dossiers de demande d’agrément, ceux-ci doivent impérativement comporter les documents suivants :</w:t>
      </w:r>
    </w:p>
    <w:p w:rsidR="00572716" w:rsidRPr="00B93F2D" w:rsidRDefault="00572716" w:rsidP="00572716">
      <w:pPr>
        <w:spacing w:after="120"/>
        <w:jc w:val="both"/>
        <w:rPr>
          <w:sz w:val="20"/>
          <w:szCs w:val="20"/>
        </w:rPr>
      </w:pPr>
    </w:p>
    <w:p w:rsidR="00572716" w:rsidRPr="00B93F2D" w:rsidRDefault="00572716" w:rsidP="00572716">
      <w:pPr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r w:rsidRPr="00B93F2D">
        <w:rPr>
          <w:sz w:val="20"/>
          <w:szCs w:val="20"/>
        </w:rPr>
        <w:t>la fiche descriptive relative à la dem</w:t>
      </w:r>
      <w:r w:rsidR="00C37352">
        <w:rPr>
          <w:sz w:val="20"/>
          <w:szCs w:val="20"/>
        </w:rPr>
        <w:t>ande d’agrément (Cf. annexe n° 2</w:t>
      </w:r>
      <w:r w:rsidRPr="00B93F2D">
        <w:rPr>
          <w:sz w:val="20"/>
          <w:szCs w:val="20"/>
        </w:rPr>
        <w:t>-</w:t>
      </w:r>
      <w:r w:rsidR="00C37352">
        <w:rPr>
          <w:sz w:val="20"/>
          <w:szCs w:val="20"/>
        </w:rPr>
        <w:t>a</w:t>
      </w:r>
      <w:r w:rsidRPr="00B93F2D">
        <w:rPr>
          <w:sz w:val="20"/>
          <w:szCs w:val="20"/>
        </w:rPr>
        <w:t xml:space="preserve">) ; </w:t>
      </w:r>
    </w:p>
    <w:p w:rsidR="00572716" w:rsidRPr="00B93F2D" w:rsidRDefault="00572716" w:rsidP="00572716">
      <w:pPr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r w:rsidRPr="00B93F2D">
        <w:rPr>
          <w:sz w:val="20"/>
          <w:szCs w:val="20"/>
        </w:rPr>
        <w:t>la lettre</w:t>
      </w:r>
      <w:r w:rsidR="00F549E8">
        <w:rPr>
          <w:sz w:val="20"/>
          <w:szCs w:val="20"/>
        </w:rPr>
        <w:t>-type</w:t>
      </w:r>
      <w:r w:rsidRPr="00B93F2D">
        <w:rPr>
          <w:sz w:val="20"/>
          <w:szCs w:val="20"/>
        </w:rPr>
        <w:t xml:space="preserve"> de candidature à la maîtrise d’apprentissage (Cf. annexe n° </w:t>
      </w:r>
      <w:r w:rsidR="00C37352">
        <w:rPr>
          <w:sz w:val="20"/>
          <w:szCs w:val="20"/>
        </w:rPr>
        <w:t>2</w:t>
      </w:r>
      <w:r w:rsidRPr="00B93F2D">
        <w:rPr>
          <w:sz w:val="20"/>
          <w:szCs w:val="20"/>
        </w:rPr>
        <w:t>-</w:t>
      </w:r>
      <w:r w:rsidR="00C37352">
        <w:rPr>
          <w:sz w:val="20"/>
          <w:szCs w:val="20"/>
        </w:rPr>
        <w:t>b</w:t>
      </w:r>
      <w:r w:rsidRPr="00B93F2D">
        <w:rPr>
          <w:sz w:val="20"/>
          <w:szCs w:val="20"/>
        </w:rPr>
        <w:t>) ;</w:t>
      </w:r>
    </w:p>
    <w:p w:rsidR="00572716" w:rsidRPr="00B93F2D" w:rsidRDefault="00572716" w:rsidP="00B93653">
      <w:pPr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proofErr w:type="gramStart"/>
      <w:r w:rsidRPr="00B93F2D">
        <w:rPr>
          <w:sz w:val="20"/>
          <w:szCs w:val="20"/>
        </w:rPr>
        <w:t>la</w:t>
      </w:r>
      <w:proofErr w:type="gramEnd"/>
      <w:r w:rsidRPr="00B93F2D">
        <w:rPr>
          <w:sz w:val="20"/>
          <w:szCs w:val="20"/>
        </w:rPr>
        <w:t xml:space="preserve"> fiche </w:t>
      </w:r>
      <w:r w:rsidR="00B921AC">
        <w:rPr>
          <w:sz w:val="20"/>
          <w:szCs w:val="20"/>
        </w:rPr>
        <w:t xml:space="preserve">du suivi du parcours et </w:t>
      </w:r>
      <w:r w:rsidRPr="00B93F2D">
        <w:rPr>
          <w:sz w:val="20"/>
          <w:szCs w:val="20"/>
        </w:rPr>
        <w:t>carrière</w:t>
      </w:r>
      <w:r w:rsidR="00B921AC">
        <w:rPr>
          <w:sz w:val="20"/>
          <w:szCs w:val="20"/>
        </w:rPr>
        <w:t xml:space="preserve"> </w:t>
      </w:r>
      <w:r w:rsidR="00B921AC">
        <w:rPr>
          <w:sz w:val="20"/>
          <w:szCs w:val="20"/>
        </w:rPr>
        <w:t>de l’entretien professionnel</w:t>
      </w:r>
      <w:r w:rsidRPr="00B93F2D">
        <w:rPr>
          <w:sz w:val="20"/>
          <w:szCs w:val="20"/>
        </w:rPr>
        <w:t xml:space="preserve"> ou la fiche de carrière de la CSS pour les chargés de recherche ;</w:t>
      </w:r>
    </w:p>
    <w:p w:rsidR="00572716" w:rsidRDefault="00572716" w:rsidP="00B93653">
      <w:pPr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proofErr w:type="gramStart"/>
      <w:r w:rsidRPr="00B93F2D">
        <w:rPr>
          <w:sz w:val="20"/>
          <w:szCs w:val="20"/>
        </w:rPr>
        <w:t>la</w:t>
      </w:r>
      <w:proofErr w:type="gramEnd"/>
      <w:r w:rsidRPr="00B93F2D">
        <w:rPr>
          <w:sz w:val="20"/>
          <w:szCs w:val="20"/>
        </w:rPr>
        <w:t xml:space="preserve"> fiche </w:t>
      </w:r>
      <w:r w:rsidR="00B921AC">
        <w:rPr>
          <w:sz w:val="20"/>
          <w:szCs w:val="20"/>
        </w:rPr>
        <w:t>des activités et missions de l’entretien professionnel</w:t>
      </w:r>
      <w:r w:rsidRPr="00B93F2D">
        <w:rPr>
          <w:sz w:val="20"/>
          <w:szCs w:val="20"/>
        </w:rPr>
        <w:t xml:space="preserve"> ou la fiche d’activité de la CSS pour les chargés de recherche ;</w:t>
      </w:r>
    </w:p>
    <w:p w:rsidR="00572716" w:rsidRPr="00840405" w:rsidRDefault="00572716" w:rsidP="00572716">
      <w:pPr>
        <w:numPr>
          <w:ilvl w:val="0"/>
          <w:numId w:val="13"/>
        </w:numPr>
        <w:spacing w:after="120"/>
        <w:jc w:val="both"/>
        <w:rPr>
          <w:sz w:val="20"/>
          <w:szCs w:val="20"/>
          <w:u w:val="single"/>
        </w:rPr>
      </w:pPr>
      <w:r w:rsidRPr="00B93F2D">
        <w:rPr>
          <w:sz w:val="20"/>
          <w:szCs w:val="20"/>
        </w:rPr>
        <w:t>le projet pédagogique détaillé et appliqué présentant les techniques et les conn</w:t>
      </w:r>
      <w:r w:rsidR="00B7693A">
        <w:rPr>
          <w:sz w:val="20"/>
          <w:szCs w:val="20"/>
        </w:rPr>
        <w:t xml:space="preserve">aissances mises en œuvre </w:t>
      </w:r>
      <w:r w:rsidR="00470957">
        <w:rPr>
          <w:sz w:val="20"/>
          <w:szCs w:val="20"/>
        </w:rPr>
        <w:t>à INRAE</w:t>
      </w:r>
      <w:r w:rsidRPr="00B93F2D">
        <w:rPr>
          <w:sz w:val="20"/>
          <w:szCs w:val="20"/>
        </w:rPr>
        <w:t xml:space="preserve">, en articulation avec les matières enseignées par le CFA. </w:t>
      </w:r>
      <w:r w:rsidRPr="00B93F2D">
        <w:rPr>
          <w:bCs/>
          <w:sz w:val="20"/>
          <w:szCs w:val="20"/>
        </w:rPr>
        <w:t xml:space="preserve">Ce projet pédagogique ne doit pas uniquement énumérer les missions qui vont être confiées à </w:t>
      </w:r>
      <w:r w:rsidRPr="00B93F2D">
        <w:rPr>
          <w:bCs/>
          <w:sz w:val="20"/>
          <w:szCs w:val="20"/>
        </w:rPr>
        <w:lastRenderedPageBreak/>
        <w:t xml:space="preserve">l’apprenti, mais également </w:t>
      </w:r>
      <w:r w:rsidRPr="00B93F2D">
        <w:rPr>
          <w:bCs/>
          <w:sz w:val="20"/>
          <w:szCs w:val="20"/>
          <w:u w:val="single"/>
        </w:rPr>
        <w:t>préciser la progression des enseignements qui lui seront dispensés au sein de l’unité</w:t>
      </w:r>
      <w:r w:rsidRPr="00840405">
        <w:rPr>
          <w:bCs/>
          <w:sz w:val="20"/>
          <w:szCs w:val="20"/>
          <w:u w:val="single"/>
        </w:rPr>
        <w:t> ;</w:t>
      </w:r>
    </w:p>
    <w:p w:rsidR="00572716" w:rsidRPr="00B93F2D" w:rsidRDefault="00572716" w:rsidP="00572716">
      <w:pPr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r w:rsidRPr="00B93F2D">
        <w:rPr>
          <w:bCs/>
          <w:sz w:val="20"/>
          <w:szCs w:val="20"/>
        </w:rPr>
        <w:t>un avis motivé du Directeur d’unité démontrant l’engagement du collectif sur le projet d’accueil de l’apprenti ;</w:t>
      </w:r>
    </w:p>
    <w:p w:rsidR="00572716" w:rsidRPr="00B93F2D" w:rsidRDefault="00572716" w:rsidP="00572716">
      <w:pPr>
        <w:numPr>
          <w:ilvl w:val="0"/>
          <w:numId w:val="13"/>
        </w:numPr>
        <w:spacing w:line="360" w:lineRule="auto"/>
        <w:rPr>
          <w:bCs/>
          <w:sz w:val="20"/>
          <w:szCs w:val="20"/>
        </w:rPr>
      </w:pPr>
      <w:r w:rsidRPr="00B93F2D">
        <w:rPr>
          <w:bCs/>
          <w:sz w:val="20"/>
          <w:szCs w:val="20"/>
        </w:rPr>
        <w:t>l’organigramme fonctionnel et détaillé de l’unité d’accueil ;</w:t>
      </w:r>
    </w:p>
    <w:p w:rsidR="00784BAD" w:rsidRDefault="00572716" w:rsidP="00572716">
      <w:pPr>
        <w:numPr>
          <w:ilvl w:val="0"/>
          <w:numId w:val="13"/>
        </w:numPr>
        <w:jc w:val="both"/>
        <w:rPr>
          <w:sz w:val="20"/>
          <w:szCs w:val="20"/>
        </w:rPr>
      </w:pPr>
      <w:proofErr w:type="gramStart"/>
      <w:r w:rsidRPr="00B93F2D">
        <w:rPr>
          <w:sz w:val="20"/>
          <w:szCs w:val="20"/>
        </w:rPr>
        <w:t>le</w:t>
      </w:r>
      <w:proofErr w:type="gramEnd"/>
      <w:r w:rsidRPr="00B93F2D">
        <w:rPr>
          <w:sz w:val="20"/>
          <w:szCs w:val="20"/>
        </w:rPr>
        <w:t xml:space="preserve"> coût des frais pédagogiques engagés pour chaque dossier et leu</w:t>
      </w:r>
      <w:r w:rsidR="00B7693A">
        <w:rPr>
          <w:sz w:val="20"/>
          <w:szCs w:val="20"/>
        </w:rPr>
        <w:t>rs modalités de financement (</w:t>
      </w:r>
      <w:r w:rsidR="00470957">
        <w:rPr>
          <w:sz w:val="20"/>
          <w:szCs w:val="20"/>
        </w:rPr>
        <w:t>INRAE</w:t>
      </w:r>
      <w:r w:rsidRPr="00B93F2D">
        <w:rPr>
          <w:sz w:val="20"/>
          <w:szCs w:val="20"/>
        </w:rPr>
        <w:t>, Région…)</w:t>
      </w:r>
      <w:r w:rsidR="00784BAD">
        <w:rPr>
          <w:sz w:val="20"/>
          <w:szCs w:val="20"/>
        </w:rPr>
        <w:t xml:space="preserve"> ; </w:t>
      </w:r>
    </w:p>
    <w:p w:rsidR="00572716" w:rsidRDefault="00784BAD" w:rsidP="00572716">
      <w:pPr>
        <w:numPr>
          <w:ilvl w:val="0"/>
          <w:numId w:val="13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grille de contrainte du poste d’apprenti dans le projet d’accueil d’un apprenti en situation de handicap</w:t>
      </w:r>
      <w:r w:rsidR="00572716" w:rsidRPr="00B93F2D">
        <w:rPr>
          <w:sz w:val="20"/>
          <w:szCs w:val="20"/>
        </w:rPr>
        <w:t>.</w:t>
      </w:r>
    </w:p>
    <w:p w:rsidR="00572716" w:rsidRPr="00B93F2D" w:rsidRDefault="00572716" w:rsidP="00840405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 xml:space="preserve">Il est rappelé que la constitution du dossier, aussi complet et précis que possible, est de nature à faciliter l’examen sur le fond des candidatures par les membres de </w:t>
      </w:r>
      <w:smartTag w:uri="urn:schemas-microsoft-com:office:smarttags" w:element="PersonName">
        <w:smartTagPr>
          <w:attr w:name="ProductID" w:val="la Commission"/>
        </w:smartTagPr>
        <w:r w:rsidRPr="00B93F2D">
          <w:rPr>
            <w:sz w:val="20"/>
            <w:szCs w:val="20"/>
          </w:rPr>
          <w:t>la Commission</w:t>
        </w:r>
      </w:smartTag>
      <w:r w:rsidRPr="00B93F2D">
        <w:rPr>
          <w:sz w:val="20"/>
          <w:szCs w:val="20"/>
        </w:rPr>
        <w:t xml:space="preserve"> paritaire apprentissage, puis par </w:t>
      </w:r>
      <w:smartTag w:uri="urn:schemas-microsoft-com:office:smarttags" w:element="PersonName">
        <w:smartTagPr>
          <w:attr w:name="ProductID" w:val="la Direction"/>
        </w:smartTagPr>
        <w:r w:rsidRPr="00B93F2D">
          <w:rPr>
            <w:sz w:val="20"/>
            <w:szCs w:val="20"/>
          </w:rPr>
          <w:t>la Direction</w:t>
        </w:r>
      </w:smartTag>
      <w:r w:rsidRPr="00B93F2D">
        <w:rPr>
          <w:sz w:val="20"/>
          <w:szCs w:val="20"/>
        </w:rPr>
        <w:t xml:space="preserve"> générale. </w:t>
      </w:r>
    </w:p>
    <w:p w:rsidR="00572716" w:rsidRPr="00B93F2D" w:rsidRDefault="00572716" w:rsidP="00572716">
      <w:pPr>
        <w:jc w:val="both"/>
        <w:rPr>
          <w:sz w:val="20"/>
          <w:szCs w:val="20"/>
          <w:u w:val="single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  <w:u w:val="single"/>
        </w:rPr>
        <w:t>Les membres de la commission sont très sensibles à l’exhaustivité des documents demandés ci-dessus</w:t>
      </w:r>
      <w:r w:rsidRPr="00B93F2D">
        <w:rPr>
          <w:sz w:val="20"/>
          <w:szCs w:val="20"/>
        </w:rPr>
        <w:t xml:space="preserve"> (notamment sur le projet pédagogique, l’organigramme et l’organisation de l’équipe d’accueil). 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E102DC" w:rsidRPr="00E102DC" w:rsidRDefault="00572716" w:rsidP="00E102DC">
      <w:pPr>
        <w:jc w:val="both"/>
        <w:rPr>
          <w:sz w:val="20"/>
          <w:szCs w:val="20"/>
        </w:rPr>
      </w:pPr>
      <w:r w:rsidRPr="00E102DC">
        <w:rPr>
          <w:sz w:val="20"/>
          <w:szCs w:val="20"/>
        </w:rPr>
        <w:t>Chaque dossier de demande d’agrément à la maîtrise d’apprentissage doi</w:t>
      </w:r>
      <w:r w:rsidR="00F549E8" w:rsidRPr="00E102DC">
        <w:rPr>
          <w:sz w:val="20"/>
          <w:szCs w:val="20"/>
        </w:rPr>
        <w:t>t être adressé au Président de C</w:t>
      </w:r>
      <w:r w:rsidRPr="00E102DC">
        <w:rPr>
          <w:sz w:val="20"/>
          <w:szCs w:val="20"/>
        </w:rPr>
        <w:t>entre</w:t>
      </w:r>
      <w:r w:rsidRPr="00B93F2D">
        <w:t xml:space="preserve">. </w:t>
      </w:r>
      <w:r w:rsidR="00E102DC" w:rsidRPr="00E102DC">
        <w:rPr>
          <w:sz w:val="20"/>
          <w:szCs w:val="20"/>
        </w:rPr>
        <w:t xml:space="preserve">Il est demandé aux Présidents de centre de fixer un ordre de priorité en cas de pluralité des candidatures à la maîtrise d’apprentissage. </w:t>
      </w:r>
    </w:p>
    <w:p w:rsidR="00572716" w:rsidRPr="00B93F2D" w:rsidRDefault="00572716" w:rsidP="00572716">
      <w:pPr>
        <w:pStyle w:val="Corpsdetexte3"/>
      </w:pPr>
      <w:r w:rsidRPr="00B93F2D">
        <w:t xml:space="preserve">Le dossier est ensuite transmis à la </w:t>
      </w:r>
      <w:r w:rsidR="00115052">
        <w:t xml:space="preserve">Direction des Ressources Humaines </w:t>
      </w:r>
      <w:r w:rsidRPr="00B93F2D">
        <w:t>(</w:t>
      </w:r>
      <w:r w:rsidR="00BC2875" w:rsidRPr="00BC2875">
        <w:t>Département Sécurité au Travail, Environnement et Politique Sociale</w:t>
      </w:r>
      <w:r w:rsidR="00857A3C">
        <w:t xml:space="preserve">, </w:t>
      </w:r>
      <w:r w:rsidR="00F07639">
        <w:t>Pôl</w:t>
      </w:r>
      <w:r w:rsidR="00C6020E">
        <w:t>e de Politique S</w:t>
      </w:r>
      <w:r w:rsidRPr="00B93F2D">
        <w:t>ociale) pour instructi</w:t>
      </w:r>
      <w:r w:rsidR="00103668">
        <w:t xml:space="preserve">on, à l’adresse mail suivante : </w:t>
      </w:r>
      <w:hyperlink r:id="rId8" w:history="1">
        <w:r w:rsidR="00351CF5" w:rsidRPr="00131E40">
          <w:rPr>
            <w:rStyle w:val="Lienhypertexte"/>
          </w:rPr>
          <w:t>apprentissage@inrae.fr</w:t>
        </w:r>
      </w:hyperlink>
      <w:r w:rsidR="00103668">
        <w:t xml:space="preserve"> 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b/>
          <w:sz w:val="20"/>
          <w:szCs w:val="20"/>
          <w:u w:val="single"/>
        </w:rPr>
      </w:pPr>
      <w:r w:rsidRPr="00B93F2D">
        <w:rPr>
          <w:b/>
          <w:sz w:val="20"/>
          <w:szCs w:val="20"/>
          <w:u w:val="single"/>
        </w:rPr>
        <w:t>II. La phase nationale d’octroi des agrément</w:t>
      </w:r>
      <w:r w:rsidR="00F549E8">
        <w:rPr>
          <w:b/>
          <w:sz w:val="20"/>
          <w:szCs w:val="20"/>
          <w:u w:val="single"/>
        </w:rPr>
        <w:t>s à la maîtrise d’apprentissage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spacing w:after="120"/>
        <w:jc w:val="both"/>
        <w:rPr>
          <w:sz w:val="20"/>
          <w:szCs w:val="20"/>
        </w:rPr>
      </w:pPr>
      <w:r w:rsidRPr="00B93F2D">
        <w:rPr>
          <w:sz w:val="20"/>
          <w:szCs w:val="20"/>
        </w:rPr>
        <w:t>La Commission paritaire apprentissage, a pour mission d’instruire les dossiers de candidature à la maîtrise d’apprentissage p</w:t>
      </w:r>
      <w:r w:rsidR="00B7693A">
        <w:rPr>
          <w:sz w:val="20"/>
          <w:szCs w:val="20"/>
        </w:rPr>
        <w:t>résentés par les agents d</w:t>
      </w:r>
      <w:r w:rsidR="00470957">
        <w:rPr>
          <w:sz w:val="20"/>
          <w:szCs w:val="20"/>
        </w:rPr>
        <w:t>’INRAE</w:t>
      </w:r>
      <w:r w:rsidRPr="00B93F2D">
        <w:rPr>
          <w:sz w:val="20"/>
          <w:szCs w:val="20"/>
        </w:rPr>
        <w:t xml:space="preserve"> et apprécie plus particulièrement : </w:t>
      </w:r>
    </w:p>
    <w:p w:rsidR="00572716" w:rsidRPr="00B93F2D" w:rsidRDefault="00572716" w:rsidP="00572716">
      <w:pPr>
        <w:numPr>
          <w:ilvl w:val="0"/>
          <w:numId w:val="13"/>
        </w:numPr>
        <w:spacing w:after="120"/>
        <w:jc w:val="both"/>
        <w:rPr>
          <w:b/>
          <w:sz w:val="20"/>
          <w:szCs w:val="20"/>
        </w:rPr>
      </w:pPr>
      <w:r w:rsidRPr="00B93F2D">
        <w:rPr>
          <w:b/>
          <w:sz w:val="20"/>
          <w:szCs w:val="20"/>
        </w:rPr>
        <w:t>l’adéquation entre le corps auquel appartient le candidat à la maîtrise d’apprentissage et le niveau de diplôme préparé par l’apprenti ;</w:t>
      </w:r>
    </w:p>
    <w:p w:rsidR="00572716" w:rsidRPr="00B93F2D" w:rsidRDefault="00572716" w:rsidP="00572716">
      <w:pPr>
        <w:numPr>
          <w:ilvl w:val="0"/>
          <w:numId w:val="13"/>
        </w:numPr>
        <w:spacing w:after="120"/>
        <w:rPr>
          <w:b/>
          <w:sz w:val="20"/>
          <w:szCs w:val="20"/>
        </w:rPr>
      </w:pPr>
      <w:r w:rsidRPr="00B93F2D">
        <w:rPr>
          <w:b/>
          <w:sz w:val="20"/>
          <w:szCs w:val="20"/>
        </w:rPr>
        <w:t xml:space="preserve">la motivation de l’agent, candidat à la maîtrise d’apprentissage ; </w:t>
      </w:r>
    </w:p>
    <w:p w:rsidR="00572716" w:rsidRPr="00B93F2D" w:rsidRDefault="00572716" w:rsidP="00572716">
      <w:pPr>
        <w:numPr>
          <w:ilvl w:val="0"/>
          <w:numId w:val="13"/>
        </w:numPr>
        <w:spacing w:after="120"/>
        <w:jc w:val="both"/>
        <w:rPr>
          <w:b/>
          <w:sz w:val="20"/>
          <w:szCs w:val="20"/>
        </w:rPr>
      </w:pPr>
      <w:r w:rsidRPr="00B93F2D">
        <w:rPr>
          <w:b/>
          <w:sz w:val="20"/>
          <w:szCs w:val="20"/>
        </w:rPr>
        <w:t xml:space="preserve">la qualité du projet pédagogique de formation pratique qui sera dispensé à l’apprenti pendant sa présence dans l’unité ; </w:t>
      </w:r>
    </w:p>
    <w:p w:rsidR="00572716" w:rsidRPr="00B93F2D" w:rsidRDefault="00572716" w:rsidP="00572716">
      <w:pPr>
        <w:numPr>
          <w:ilvl w:val="0"/>
          <w:numId w:val="13"/>
        </w:numPr>
        <w:jc w:val="both"/>
        <w:rPr>
          <w:b/>
          <w:sz w:val="20"/>
          <w:szCs w:val="20"/>
        </w:rPr>
      </w:pPr>
      <w:r w:rsidRPr="00B93F2D">
        <w:rPr>
          <w:b/>
          <w:sz w:val="20"/>
          <w:szCs w:val="20"/>
        </w:rPr>
        <w:t>la disponibilité du candidat à la maîtrise d’apprentissage pour l’encadrement de l’apprenti tout au long du contrat.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>La commission formule des avis favorable</w:t>
      </w:r>
      <w:r w:rsidR="00B7693A">
        <w:rPr>
          <w:sz w:val="20"/>
          <w:szCs w:val="20"/>
        </w:rPr>
        <w:t>s</w:t>
      </w:r>
      <w:r w:rsidRPr="00B93F2D">
        <w:rPr>
          <w:sz w:val="20"/>
          <w:szCs w:val="20"/>
        </w:rPr>
        <w:t>, réservé</w:t>
      </w:r>
      <w:r w:rsidR="00B7693A">
        <w:rPr>
          <w:sz w:val="20"/>
          <w:szCs w:val="20"/>
        </w:rPr>
        <w:t>s</w:t>
      </w:r>
      <w:r w:rsidRPr="00B93F2D">
        <w:rPr>
          <w:sz w:val="20"/>
          <w:szCs w:val="20"/>
        </w:rPr>
        <w:t xml:space="preserve"> ou défavorable</w:t>
      </w:r>
      <w:r w:rsidR="00B7693A">
        <w:rPr>
          <w:sz w:val="20"/>
          <w:szCs w:val="20"/>
        </w:rPr>
        <w:t>s</w:t>
      </w:r>
      <w:r w:rsidRPr="00B93F2D">
        <w:rPr>
          <w:sz w:val="20"/>
          <w:szCs w:val="20"/>
        </w:rPr>
        <w:t xml:space="preserve"> sur chacun des dossiers de candidature soumis à son examen. 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sz w:val="20"/>
          <w:szCs w:val="20"/>
        </w:rPr>
      </w:pPr>
      <w:r w:rsidRPr="00B93F2D">
        <w:rPr>
          <w:sz w:val="20"/>
          <w:szCs w:val="20"/>
        </w:rPr>
        <w:t xml:space="preserve">Il appartient ensuite à </w:t>
      </w:r>
      <w:smartTag w:uri="urn:schemas-microsoft-com:office:smarttags" w:element="PersonName">
        <w:smartTagPr>
          <w:attr w:name="ProductID" w:val="la Direction"/>
        </w:smartTagPr>
        <w:r w:rsidRPr="00B93F2D">
          <w:rPr>
            <w:sz w:val="20"/>
            <w:szCs w:val="20"/>
          </w:rPr>
          <w:t>la Direction</w:t>
        </w:r>
      </w:smartTag>
      <w:r w:rsidRPr="00B93F2D">
        <w:rPr>
          <w:sz w:val="20"/>
          <w:szCs w:val="20"/>
        </w:rPr>
        <w:t xml:space="preserve"> générale de répartir le quota national de recrutement inscrit au budget, sur la base des avis émis par </w:t>
      </w:r>
      <w:smartTag w:uri="urn:schemas-microsoft-com:office:smarttags" w:element="PersonName">
        <w:smartTagPr>
          <w:attr w:name="ProductID" w:val="la Commission"/>
        </w:smartTagPr>
        <w:r w:rsidRPr="00B93F2D">
          <w:rPr>
            <w:sz w:val="20"/>
            <w:szCs w:val="20"/>
          </w:rPr>
          <w:t>la Commission</w:t>
        </w:r>
      </w:smartTag>
      <w:r w:rsidRPr="00B93F2D">
        <w:rPr>
          <w:sz w:val="20"/>
          <w:szCs w:val="20"/>
        </w:rPr>
        <w:t xml:space="preserve"> paritaire apprentissage.</w:t>
      </w:r>
    </w:p>
    <w:p w:rsidR="00572716" w:rsidRPr="00B93F2D" w:rsidRDefault="00572716" w:rsidP="00572716">
      <w:pPr>
        <w:jc w:val="both"/>
        <w:rPr>
          <w:sz w:val="20"/>
          <w:szCs w:val="20"/>
        </w:rPr>
      </w:pPr>
    </w:p>
    <w:p w:rsidR="00572716" w:rsidRPr="00B93F2D" w:rsidRDefault="00572716" w:rsidP="00572716">
      <w:pPr>
        <w:jc w:val="both"/>
        <w:rPr>
          <w:b/>
          <w:sz w:val="20"/>
          <w:szCs w:val="20"/>
          <w:u w:val="single"/>
        </w:rPr>
      </w:pPr>
    </w:p>
    <w:p w:rsidR="00572716" w:rsidRPr="00B93F2D" w:rsidRDefault="00572716" w:rsidP="00572716">
      <w:p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  <w:r w:rsidRPr="00B93F2D">
        <w:rPr>
          <w:b/>
          <w:sz w:val="20"/>
          <w:szCs w:val="20"/>
          <w:u w:val="single"/>
        </w:rPr>
        <w:lastRenderedPageBreak/>
        <w:t xml:space="preserve">III. Le calendrier </w:t>
      </w:r>
      <w:r w:rsidRPr="00B22F56">
        <w:rPr>
          <w:b/>
          <w:sz w:val="20"/>
          <w:szCs w:val="20"/>
          <w:u w:val="single"/>
        </w:rPr>
        <w:t xml:space="preserve">prévisionnel </w:t>
      </w:r>
      <w:r w:rsidR="00470957">
        <w:rPr>
          <w:b/>
          <w:sz w:val="20"/>
          <w:szCs w:val="20"/>
          <w:u w:val="single"/>
        </w:rPr>
        <w:t>202</w:t>
      </w:r>
      <w:r w:rsidR="00BC2875">
        <w:rPr>
          <w:b/>
          <w:sz w:val="20"/>
          <w:szCs w:val="20"/>
          <w:u w:val="single"/>
        </w:rPr>
        <w:t>4</w:t>
      </w:r>
      <w:r w:rsidR="00470957">
        <w:rPr>
          <w:b/>
          <w:sz w:val="20"/>
          <w:szCs w:val="20"/>
          <w:u w:val="single"/>
        </w:rPr>
        <w:t>-202</w:t>
      </w:r>
      <w:r w:rsidR="00BC2875">
        <w:rPr>
          <w:b/>
          <w:sz w:val="20"/>
          <w:szCs w:val="20"/>
          <w:u w:val="single"/>
        </w:rPr>
        <w:t>5</w:t>
      </w:r>
    </w:p>
    <w:p w:rsidR="00572716" w:rsidRDefault="00572716" w:rsidP="00572716">
      <w:pPr>
        <w:jc w:val="both"/>
        <w:rPr>
          <w:sz w:val="20"/>
          <w:szCs w:val="20"/>
        </w:rPr>
      </w:pPr>
    </w:p>
    <w:p w:rsidR="00284294" w:rsidRPr="00B93F2D" w:rsidRDefault="00284294" w:rsidP="00572716">
      <w:pPr>
        <w:jc w:val="both"/>
        <w:rPr>
          <w:sz w:val="20"/>
          <w:szCs w:val="20"/>
        </w:rPr>
      </w:pPr>
    </w:p>
    <w:p w:rsidR="00572716" w:rsidRPr="00572716" w:rsidRDefault="00572716" w:rsidP="00572716">
      <w:pPr>
        <w:jc w:val="both"/>
        <w:rPr>
          <w:sz w:val="20"/>
          <w:szCs w:val="20"/>
        </w:rPr>
      </w:pPr>
      <w:r w:rsidRPr="00572716">
        <w:rPr>
          <w:sz w:val="20"/>
          <w:szCs w:val="20"/>
        </w:rPr>
        <w:t>Comme l’an passé, la campagne se déroulera en deux sessions :</w:t>
      </w:r>
    </w:p>
    <w:p w:rsidR="00572716" w:rsidRDefault="00572716" w:rsidP="00572716">
      <w:pPr>
        <w:jc w:val="both"/>
        <w:rPr>
          <w:sz w:val="20"/>
          <w:szCs w:val="20"/>
        </w:rPr>
      </w:pPr>
    </w:p>
    <w:p w:rsidR="00284294" w:rsidRPr="00572716" w:rsidRDefault="00284294" w:rsidP="00572716">
      <w:pPr>
        <w:jc w:val="both"/>
        <w:rPr>
          <w:sz w:val="20"/>
          <w:szCs w:val="20"/>
        </w:rPr>
      </w:pPr>
    </w:p>
    <w:p w:rsidR="00572716" w:rsidRPr="00572716" w:rsidRDefault="00572716" w:rsidP="00572716">
      <w:pPr>
        <w:jc w:val="both"/>
        <w:rPr>
          <w:sz w:val="20"/>
          <w:szCs w:val="20"/>
          <w:u w:val="single"/>
        </w:rPr>
      </w:pPr>
      <w:r w:rsidRPr="00572716">
        <w:rPr>
          <w:sz w:val="20"/>
          <w:szCs w:val="20"/>
          <w:u w:val="single"/>
        </w:rPr>
        <w:t>1° Première session.</w:t>
      </w:r>
    </w:p>
    <w:p w:rsidR="00572716" w:rsidRPr="00572716" w:rsidRDefault="00572716" w:rsidP="00572716">
      <w:pPr>
        <w:jc w:val="both"/>
        <w:rPr>
          <w:sz w:val="20"/>
          <w:szCs w:val="20"/>
        </w:rPr>
      </w:pPr>
    </w:p>
    <w:p w:rsidR="00572716" w:rsidRPr="0085331D" w:rsidRDefault="00572716" w:rsidP="00572716">
      <w:pPr>
        <w:jc w:val="both"/>
        <w:rPr>
          <w:sz w:val="20"/>
          <w:szCs w:val="20"/>
        </w:rPr>
      </w:pPr>
      <w:r w:rsidRPr="00572716">
        <w:rPr>
          <w:sz w:val="20"/>
          <w:szCs w:val="20"/>
        </w:rPr>
        <w:t>Pour la première session, une réunion</w:t>
      </w:r>
      <w:r w:rsidR="00BC2875">
        <w:rPr>
          <w:sz w:val="20"/>
          <w:szCs w:val="20"/>
        </w:rPr>
        <w:t xml:space="preserve"> </w:t>
      </w:r>
      <w:r w:rsidRPr="0085331D">
        <w:rPr>
          <w:sz w:val="20"/>
          <w:szCs w:val="20"/>
        </w:rPr>
        <w:t xml:space="preserve">de la </w:t>
      </w:r>
      <w:r w:rsidR="00947923" w:rsidRPr="0085331D">
        <w:rPr>
          <w:sz w:val="20"/>
          <w:szCs w:val="20"/>
        </w:rPr>
        <w:t>Commission paritaire apprentissage (</w:t>
      </w:r>
      <w:r w:rsidRPr="0085331D">
        <w:rPr>
          <w:sz w:val="20"/>
          <w:szCs w:val="20"/>
        </w:rPr>
        <w:t>CPA</w:t>
      </w:r>
      <w:r w:rsidR="00947923" w:rsidRPr="0085331D">
        <w:rPr>
          <w:sz w:val="20"/>
          <w:szCs w:val="20"/>
        </w:rPr>
        <w:t xml:space="preserve">) </w:t>
      </w:r>
      <w:r w:rsidRPr="0085331D">
        <w:rPr>
          <w:sz w:val="20"/>
          <w:szCs w:val="20"/>
        </w:rPr>
        <w:t>aura lieu, le calendrier ci-dessous indique les dates à retenir.</w:t>
      </w:r>
    </w:p>
    <w:p w:rsidR="00572716" w:rsidRPr="0085331D" w:rsidRDefault="00572716" w:rsidP="00572716">
      <w:pPr>
        <w:jc w:val="both"/>
        <w:rPr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4178"/>
      </w:tblGrid>
      <w:tr w:rsidR="00572716" w:rsidRPr="0085331D" w:rsidTr="00947923">
        <w:trPr>
          <w:trHeight w:val="725"/>
        </w:trPr>
        <w:tc>
          <w:tcPr>
            <w:tcW w:w="4822" w:type="dxa"/>
            <w:shd w:val="clear" w:color="auto" w:fill="E0E0E0"/>
          </w:tcPr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  <w:p w:rsidR="00947923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  <w:r w:rsidRPr="0085331D">
              <w:rPr>
                <w:b/>
                <w:sz w:val="20"/>
                <w:szCs w:val="20"/>
              </w:rPr>
              <w:t xml:space="preserve">Réception des dossiers par la </w:t>
            </w:r>
            <w:r w:rsidR="00115052">
              <w:rPr>
                <w:b/>
                <w:sz w:val="20"/>
                <w:szCs w:val="20"/>
              </w:rPr>
              <w:t xml:space="preserve">Direction des Ressources Humaines </w:t>
            </w: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  <w:r w:rsidRPr="0085331D">
              <w:rPr>
                <w:b/>
                <w:sz w:val="20"/>
                <w:szCs w:val="20"/>
              </w:rPr>
              <w:t>(</w:t>
            </w:r>
            <w:r w:rsidR="00857A3C">
              <w:rPr>
                <w:b/>
                <w:sz w:val="20"/>
                <w:szCs w:val="20"/>
              </w:rPr>
              <w:t xml:space="preserve">Département </w:t>
            </w:r>
            <w:r w:rsidR="00142EDA">
              <w:rPr>
                <w:b/>
                <w:sz w:val="20"/>
                <w:szCs w:val="20"/>
              </w:rPr>
              <w:t>STEPS</w:t>
            </w:r>
            <w:r w:rsidR="00857A3C">
              <w:rPr>
                <w:b/>
                <w:sz w:val="20"/>
                <w:szCs w:val="20"/>
              </w:rPr>
              <w:t xml:space="preserve">, </w:t>
            </w:r>
            <w:r w:rsidR="00F07639" w:rsidRPr="0085331D">
              <w:rPr>
                <w:b/>
                <w:sz w:val="20"/>
                <w:szCs w:val="20"/>
              </w:rPr>
              <w:t>Pôl</w:t>
            </w:r>
            <w:r w:rsidRPr="0085331D">
              <w:rPr>
                <w:b/>
                <w:sz w:val="20"/>
                <w:szCs w:val="20"/>
              </w:rPr>
              <w:t xml:space="preserve">e de Politique </w:t>
            </w:r>
            <w:r w:rsidR="00947923" w:rsidRPr="0085331D">
              <w:rPr>
                <w:b/>
                <w:sz w:val="20"/>
                <w:szCs w:val="20"/>
              </w:rPr>
              <w:t>S</w:t>
            </w:r>
            <w:r w:rsidRPr="0085331D">
              <w:rPr>
                <w:b/>
                <w:sz w:val="20"/>
                <w:szCs w:val="20"/>
              </w:rPr>
              <w:t>ociale)</w:t>
            </w: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8" w:type="dxa"/>
            <w:shd w:val="clear" w:color="auto" w:fill="E0E0E0"/>
          </w:tcPr>
          <w:p w:rsidR="00572716" w:rsidRPr="00B22F56" w:rsidRDefault="00572716" w:rsidP="00E22607">
            <w:pPr>
              <w:jc w:val="both"/>
              <w:rPr>
                <w:sz w:val="20"/>
                <w:szCs w:val="20"/>
              </w:rPr>
            </w:pPr>
          </w:p>
          <w:p w:rsidR="00572716" w:rsidRPr="00B22F56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  <w:p w:rsidR="00572716" w:rsidRPr="00B22F56" w:rsidRDefault="00BC2875" w:rsidP="00F439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5B08B8" w:rsidRPr="00AF15EF">
              <w:rPr>
                <w:b/>
                <w:sz w:val="20"/>
                <w:szCs w:val="20"/>
              </w:rPr>
              <w:t xml:space="preserve"> février</w:t>
            </w:r>
            <w:r w:rsidR="00F439FE">
              <w:rPr>
                <w:b/>
                <w:sz w:val="20"/>
                <w:szCs w:val="20"/>
              </w:rPr>
              <w:t xml:space="preserve"> </w:t>
            </w:r>
            <w:r w:rsidR="005B08B8" w:rsidRPr="00AF15EF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572716" w:rsidRPr="0085331D" w:rsidTr="00F549E8">
        <w:trPr>
          <w:trHeight w:val="726"/>
        </w:trPr>
        <w:tc>
          <w:tcPr>
            <w:tcW w:w="4822" w:type="dxa"/>
            <w:shd w:val="clear" w:color="auto" w:fill="E0E0E0"/>
          </w:tcPr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  <w:r w:rsidRPr="0085331D">
              <w:rPr>
                <w:b/>
                <w:sz w:val="20"/>
                <w:szCs w:val="20"/>
              </w:rPr>
              <w:t xml:space="preserve">Réunion de </w:t>
            </w:r>
            <w:smartTag w:uri="urn:schemas-microsoft-com:office:smarttags" w:element="PersonName">
              <w:smartTagPr>
                <w:attr w:name="ProductID" w:val="la Commission"/>
              </w:smartTagPr>
              <w:r w:rsidRPr="0085331D">
                <w:rPr>
                  <w:b/>
                  <w:sz w:val="20"/>
                  <w:szCs w:val="20"/>
                </w:rPr>
                <w:t>la Commission</w:t>
              </w:r>
            </w:smartTag>
            <w:r w:rsidRPr="0085331D">
              <w:rPr>
                <w:b/>
                <w:sz w:val="20"/>
                <w:szCs w:val="20"/>
              </w:rPr>
              <w:t xml:space="preserve"> </w:t>
            </w:r>
            <w:r w:rsidR="00947923" w:rsidRPr="0085331D">
              <w:rPr>
                <w:b/>
                <w:sz w:val="20"/>
                <w:szCs w:val="20"/>
              </w:rPr>
              <w:t>P</w:t>
            </w:r>
            <w:r w:rsidRPr="0085331D">
              <w:rPr>
                <w:b/>
                <w:sz w:val="20"/>
                <w:szCs w:val="20"/>
              </w:rPr>
              <w:t xml:space="preserve">aritaire </w:t>
            </w:r>
            <w:r w:rsidR="00947923" w:rsidRPr="0085331D">
              <w:rPr>
                <w:b/>
                <w:sz w:val="20"/>
                <w:szCs w:val="20"/>
              </w:rPr>
              <w:t>A</w:t>
            </w:r>
            <w:r w:rsidRPr="0085331D">
              <w:rPr>
                <w:b/>
                <w:sz w:val="20"/>
                <w:szCs w:val="20"/>
              </w:rPr>
              <w:t>pprentissage</w:t>
            </w: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8" w:type="dxa"/>
            <w:shd w:val="clear" w:color="auto" w:fill="E0E0E0"/>
            <w:vAlign w:val="center"/>
          </w:tcPr>
          <w:p w:rsidR="00572716" w:rsidRPr="00B22F56" w:rsidRDefault="0051500C" w:rsidP="006639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Début </w:t>
            </w:r>
            <w:r w:rsidR="00BC2875">
              <w:rPr>
                <w:b/>
                <w:sz w:val="20"/>
                <w:szCs w:val="20"/>
              </w:rPr>
              <w:t>19</w:t>
            </w:r>
            <w:r w:rsidR="00784BAD">
              <w:rPr>
                <w:b/>
                <w:sz w:val="20"/>
                <w:szCs w:val="20"/>
              </w:rPr>
              <w:t xml:space="preserve"> et </w:t>
            </w:r>
            <w:r w:rsidR="00BC2875">
              <w:rPr>
                <w:b/>
                <w:sz w:val="20"/>
                <w:szCs w:val="20"/>
              </w:rPr>
              <w:t>20</w:t>
            </w:r>
            <w:r w:rsidR="00784BAD">
              <w:rPr>
                <w:b/>
                <w:sz w:val="20"/>
                <w:szCs w:val="20"/>
              </w:rPr>
              <w:t xml:space="preserve"> mars 202</w:t>
            </w:r>
            <w:r w:rsidR="00BC2875">
              <w:rPr>
                <w:b/>
                <w:sz w:val="20"/>
                <w:szCs w:val="20"/>
              </w:rPr>
              <w:t>4</w:t>
            </w:r>
          </w:p>
        </w:tc>
      </w:tr>
      <w:tr w:rsidR="00572716" w:rsidRPr="0085331D" w:rsidTr="00947923">
        <w:trPr>
          <w:trHeight w:val="726"/>
        </w:trPr>
        <w:tc>
          <w:tcPr>
            <w:tcW w:w="4822" w:type="dxa"/>
            <w:shd w:val="clear" w:color="auto" w:fill="E0E0E0"/>
          </w:tcPr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  <w:r w:rsidRPr="0085331D">
              <w:rPr>
                <w:b/>
                <w:sz w:val="20"/>
                <w:szCs w:val="20"/>
              </w:rPr>
              <w:t xml:space="preserve">Arbitrage de </w:t>
            </w:r>
            <w:smartTag w:uri="urn:schemas-microsoft-com:office:smarttags" w:element="PersonName">
              <w:smartTagPr>
                <w:attr w:name="ProductID" w:val="la Direction"/>
              </w:smartTagPr>
              <w:r w:rsidRPr="0085331D">
                <w:rPr>
                  <w:b/>
                  <w:sz w:val="20"/>
                  <w:szCs w:val="20"/>
                </w:rPr>
                <w:t>la Direction</w:t>
              </w:r>
            </w:smartTag>
            <w:r w:rsidRPr="0085331D">
              <w:rPr>
                <w:b/>
                <w:sz w:val="20"/>
                <w:szCs w:val="20"/>
              </w:rPr>
              <w:t xml:space="preserve"> </w:t>
            </w:r>
            <w:r w:rsidR="00947923" w:rsidRPr="0085331D">
              <w:rPr>
                <w:b/>
                <w:sz w:val="20"/>
                <w:szCs w:val="20"/>
              </w:rPr>
              <w:t>G</w:t>
            </w:r>
            <w:r w:rsidRPr="0085331D">
              <w:rPr>
                <w:b/>
                <w:sz w:val="20"/>
                <w:szCs w:val="20"/>
              </w:rPr>
              <w:t>énérale</w:t>
            </w:r>
          </w:p>
          <w:p w:rsidR="00572716" w:rsidRPr="0085331D" w:rsidRDefault="00572716" w:rsidP="00E226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8" w:type="dxa"/>
            <w:shd w:val="clear" w:color="auto" w:fill="E0E0E0"/>
          </w:tcPr>
          <w:p w:rsidR="00572716" w:rsidRPr="00B22F56" w:rsidRDefault="00572716" w:rsidP="00E22607">
            <w:pPr>
              <w:rPr>
                <w:sz w:val="20"/>
                <w:szCs w:val="20"/>
              </w:rPr>
            </w:pPr>
          </w:p>
          <w:p w:rsidR="00572716" w:rsidRPr="00B22F56" w:rsidRDefault="00D83C7E" w:rsidP="00D54D45">
            <w:pPr>
              <w:pStyle w:val="Titre9"/>
            </w:pPr>
            <w:r>
              <w:t xml:space="preserve">Début </w:t>
            </w:r>
            <w:r w:rsidR="00653FD0">
              <w:t>avril 202</w:t>
            </w:r>
            <w:r w:rsidR="00BC2875">
              <w:t>4</w:t>
            </w:r>
          </w:p>
        </w:tc>
      </w:tr>
    </w:tbl>
    <w:p w:rsidR="00572716" w:rsidRPr="0085331D" w:rsidRDefault="00572716" w:rsidP="00572716">
      <w:pPr>
        <w:jc w:val="both"/>
        <w:rPr>
          <w:sz w:val="20"/>
          <w:szCs w:val="20"/>
        </w:rPr>
      </w:pPr>
    </w:p>
    <w:p w:rsidR="00572716" w:rsidRPr="0085331D" w:rsidRDefault="00B7693A" w:rsidP="00572716">
      <w:pPr>
        <w:jc w:val="both"/>
        <w:rPr>
          <w:b/>
          <w:sz w:val="20"/>
          <w:szCs w:val="20"/>
        </w:rPr>
      </w:pPr>
      <w:r w:rsidRPr="0085331D">
        <w:rPr>
          <w:sz w:val="20"/>
          <w:szCs w:val="20"/>
        </w:rPr>
        <w:t xml:space="preserve">La </w:t>
      </w:r>
      <w:r w:rsidR="00115052">
        <w:rPr>
          <w:sz w:val="20"/>
          <w:szCs w:val="20"/>
        </w:rPr>
        <w:t xml:space="preserve">Direction des Ressources Humaines </w:t>
      </w:r>
      <w:r w:rsidR="00572716" w:rsidRPr="0085331D">
        <w:rPr>
          <w:sz w:val="20"/>
          <w:szCs w:val="20"/>
        </w:rPr>
        <w:t xml:space="preserve">vous remercie de bien vouloir respecter ce calendrier : </w:t>
      </w:r>
      <w:r w:rsidR="00572716" w:rsidRPr="0085331D">
        <w:rPr>
          <w:b/>
          <w:sz w:val="20"/>
          <w:szCs w:val="20"/>
        </w:rPr>
        <w:t xml:space="preserve">tout dossier reçu après </w:t>
      </w:r>
      <w:r w:rsidR="00572716" w:rsidRPr="00B22F56">
        <w:rPr>
          <w:b/>
          <w:sz w:val="20"/>
          <w:szCs w:val="20"/>
        </w:rPr>
        <w:t xml:space="preserve">le </w:t>
      </w:r>
      <w:r w:rsidR="00BC2875">
        <w:rPr>
          <w:b/>
          <w:sz w:val="20"/>
          <w:szCs w:val="20"/>
        </w:rPr>
        <w:t>16</w:t>
      </w:r>
      <w:r w:rsidR="00857A3C" w:rsidRPr="00AF15EF">
        <w:rPr>
          <w:b/>
          <w:sz w:val="20"/>
          <w:szCs w:val="20"/>
        </w:rPr>
        <w:t xml:space="preserve"> février</w:t>
      </w:r>
      <w:r w:rsidR="00572716" w:rsidRPr="00B22F56">
        <w:rPr>
          <w:b/>
          <w:sz w:val="20"/>
          <w:szCs w:val="20"/>
        </w:rPr>
        <w:t xml:space="preserve"> ne pourra pas être</w:t>
      </w:r>
      <w:r w:rsidR="00572716" w:rsidRPr="0085331D">
        <w:rPr>
          <w:b/>
          <w:sz w:val="20"/>
          <w:szCs w:val="20"/>
        </w:rPr>
        <w:t xml:space="preserve"> présenté à l’instruction des membres de la </w:t>
      </w:r>
      <w:r w:rsidR="00947923" w:rsidRPr="0085331D">
        <w:rPr>
          <w:b/>
          <w:sz w:val="20"/>
          <w:szCs w:val="20"/>
        </w:rPr>
        <w:t>CPA</w:t>
      </w:r>
      <w:r w:rsidR="00572716" w:rsidRPr="0085331D">
        <w:rPr>
          <w:b/>
          <w:sz w:val="20"/>
          <w:szCs w:val="20"/>
        </w:rPr>
        <w:t>.</w:t>
      </w:r>
    </w:p>
    <w:p w:rsidR="00572716" w:rsidRDefault="00572716" w:rsidP="00572716">
      <w:pPr>
        <w:jc w:val="both"/>
        <w:rPr>
          <w:sz w:val="20"/>
          <w:szCs w:val="20"/>
        </w:rPr>
      </w:pPr>
    </w:p>
    <w:p w:rsidR="00572716" w:rsidRPr="00572716" w:rsidRDefault="00572716" w:rsidP="00572716">
      <w:pPr>
        <w:jc w:val="both"/>
        <w:rPr>
          <w:sz w:val="20"/>
          <w:szCs w:val="20"/>
        </w:rPr>
      </w:pPr>
    </w:p>
    <w:p w:rsidR="00572716" w:rsidRPr="00572716" w:rsidRDefault="00572716" w:rsidP="00572716">
      <w:pPr>
        <w:jc w:val="both"/>
        <w:rPr>
          <w:sz w:val="20"/>
          <w:szCs w:val="20"/>
          <w:u w:val="single"/>
        </w:rPr>
      </w:pPr>
      <w:r w:rsidRPr="00572716">
        <w:rPr>
          <w:sz w:val="20"/>
          <w:szCs w:val="20"/>
          <w:u w:val="single"/>
        </w:rPr>
        <w:t>2° Seconde session.</w:t>
      </w:r>
    </w:p>
    <w:p w:rsidR="00572716" w:rsidRPr="00572716" w:rsidRDefault="00572716" w:rsidP="00572716">
      <w:pPr>
        <w:jc w:val="both"/>
        <w:rPr>
          <w:sz w:val="20"/>
          <w:szCs w:val="20"/>
        </w:rPr>
      </w:pPr>
    </w:p>
    <w:p w:rsidR="00572716" w:rsidRPr="00572716" w:rsidRDefault="00947923" w:rsidP="0057271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Dans l’hypothèse où l’ensemble des possibilités de recrutements d’apprentis ne serait pas arbitré à la suite de </w:t>
      </w:r>
      <w:r w:rsidR="00EC7F35">
        <w:rPr>
          <w:sz w:val="20"/>
          <w:szCs w:val="20"/>
        </w:rPr>
        <w:t xml:space="preserve">la </w:t>
      </w:r>
      <w:r>
        <w:rPr>
          <w:sz w:val="20"/>
          <w:szCs w:val="20"/>
        </w:rPr>
        <w:t xml:space="preserve">CPA, une </w:t>
      </w:r>
      <w:r w:rsidR="00572716" w:rsidRPr="00572716">
        <w:rPr>
          <w:sz w:val="20"/>
          <w:szCs w:val="20"/>
        </w:rPr>
        <w:t>seconde session dite « au fil de l’eau » débutera</w:t>
      </w:r>
      <w:r>
        <w:rPr>
          <w:sz w:val="20"/>
          <w:szCs w:val="20"/>
        </w:rPr>
        <w:t>it</w:t>
      </w:r>
      <w:r w:rsidR="00572716" w:rsidRPr="00572716">
        <w:rPr>
          <w:sz w:val="20"/>
          <w:szCs w:val="20"/>
        </w:rPr>
        <w:t xml:space="preserve"> à l’issue du premier arbitrage. </w:t>
      </w:r>
    </w:p>
    <w:p w:rsidR="00572716" w:rsidRPr="00572716" w:rsidRDefault="00572716" w:rsidP="00572716">
      <w:pPr>
        <w:jc w:val="both"/>
        <w:rPr>
          <w:sz w:val="20"/>
          <w:szCs w:val="20"/>
        </w:rPr>
      </w:pPr>
    </w:p>
    <w:p w:rsidR="00572716" w:rsidRPr="00572716" w:rsidRDefault="00572716" w:rsidP="00572716">
      <w:pPr>
        <w:jc w:val="both"/>
        <w:rPr>
          <w:sz w:val="20"/>
          <w:szCs w:val="20"/>
        </w:rPr>
      </w:pPr>
      <w:r w:rsidRPr="00572716">
        <w:rPr>
          <w:sz w:val="20"/>
          <w:szCs w:val="20"/>
        </w:rPr>
        <w:t>A ce titre les demandes fer</w:t>
      </w:r>
      <w:r w:rsidR="00947923">
        <w:rPr>
          <w:sz w:val="20"/>
          <w:szCs w:val="20"/>
        </w:rPr>
        <w:t>aie</w:t>
      </w:r>
      <w:r w:rsidRPr="00572716">
        <w:rPr>
          <w:sz w:val="20"/>
          <w:szCs w:val="20"/>
        </w:rPr>
        <w:t xml:space="preserve">nt l’objet d’une saisine écrite des membres de </w:t>
      </w:r>
      <w:smartTag w:uri="urn:schemas-microsoft-com:office:smarttags" w:element="PersonName">
        <w:smartTagPr>
          <w:attr w:name="ProductID" w:val="la CPA"/>
        </w:smartTagPr>
        <w:r w:rsidRPr="00572716">
          <w:rPr>
            <w:sz w:val="20"/>
            <w:szCs w:val="20"/>
          </w:rPr>
          <w:t>la CPA</w:t>
        </w:r>
      </w:smartTag>
      <w:r w:rsidRPr="00572716">
        <w:rPr>
          <w:sz w:val="20"/>
          <w:szCs w:val="20"/>
        </w:rPr>
        <w:t xml:space="preserve">, puis </w:t>
      </w:r>
      <w:r w:rsidR="00947923">
        <w:rPr>
          <w:sz w:val="20"/>
          <w:szCs w:val="20"/>
        </w:rPr>
        <w:t xml:space="preserve">d’un </w:t>
      </w:r>
      <w:r w:rsidRPr="00572716">
        <w:rPr>
          <w:sz w:val="20"/>
          <w:szCs w:val="20"/>
        </w:rPr>
        <w:t xml:space="preserve">arbitrage de </w:t>
      </w:r>
      <w:smartTag w:uri="urn:schemas-microsoft-com:office:smarttags" w:element="PersonName">
        <w:smartTagPr>
          <w:attr w:name="ProductID" w:val="la Direction G￩n￩rale"/>
        </w:smartTagPr>
        <w:r w:rsidRPr="00572716">
          <w:rPr>
            <w:sz w:val="20"/>
            <w:szCs w:val="20"/>
          </w:rPr>
          <w:t>la Direction Générale</w:t>
        </w:r>
      </w:smartTag>
      <w:r w:rsidRPr="00572716">
        <w:rPr>
          <w:sz w:val="20"/>
          <w:szCs w:val="20"/>
        </w:rPr>
        <w:t xml:space="preserve"> sur la base des avis émis par </w:t>
      </w:r>
      <w:smartTag w:uri="urn:schemas-microsoft-com:office:smarttags" w:element="PersonName">
        <w:smartTagPr>
          <w:attr w:name="ProductID" w:val="la CPA."/>
        </w:smartTagPr>
        <w:r w:rsidRPr="00572716">
          <w:rPr>
            <w:sz w:val="20"/>
            <w:szCs w:val="20"/>
          </w:rPr>
          <w:t>la CPA.</w:t>
        </w:r>
      </w:smartTag>
    </w:p>
    <w:p w:rsidR="00572716" w:rsidRDefault="00572716" w:rsidP="00572716">
      <w:pPr>
        <w:jc w:val="both"/>
        <w:rPr>
          <w:sz w:val="20"/>
          <w:szCs w:val="20"/>
        </w:rPr>
      </w:pPr>
    </w:p>
    <w:p w:rsidR="00572716" w:rsidRDefault="00572716" w:rsidP="00572716">
      <w:pPr>
        <w:jc w:val="both"/>
        <w:rPr>
          <w:sz w:val="20"/>
          <w:szCs w:val="20"/>
        </w:rPr>
      </w:pPr>
    </w:p>
    <w:p w:rsidR="00572716" w:rsidRPr="00B22F56" w:rsidRDefault="008A58B0" w:rsidP="00572716">
      <w:pPr>
        <w:jc w:val="both"/>
        <w:rPr>
          <w:b/>
          <w:sz w:val="20"/>
          <w:szCs w:val="20"/>
          <w:u w:val="single"/>
        </w:rPr>
      </w:pPr>
      <w:r w:rsidRPr="00B22F56">
        <w:rPr>
          <w:b/>
          <w:sz w:val="20"/>
          <w:szCs w:val="20"/>
          <w:u w:val="single"/>
        </w:rPr>
        <w:t>IV. La formation des maîtres d’apprentissage</w:t>
      </w:r>
    </w:p>
    <w:p w:rsidR="008A58B0" w:rsidRPr="00B22F56" w:rsidRDefault="008A58B0" w:rsidP="00572716">
      <w:pPr>
        <w:jc w:val="both"/>
        <w:rPr>
          <w:sz w:val="18"/>
          <w:szCs w:val="18"/>
        </w:rPr>
      </w:pPr>
    </w:p>
    <w:p w:rsidR="00734756" w:rsidRPr="00B22F56" w:rsidRDefault="00EF6903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fr-FR"/>
        </w:rPr>
        <w:t>La Direction des Ressources Humaines</w:t>
      </w:r>
      <w:r w:rsidR="00D83C7E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– Formation </w:t>
      </w:r>
      <w:r w:rsidR="00BC2875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Tout au long de la Vie </w:t>
      </w:r>
      <w:r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met en place un dispositif de formation à destination des </w:t>
      </w:r>
      <w:r w:rsidR="007347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maîtres d’apprentissage nouvellement agréés ou dans le cadre d’un renouvellement de leur agrément, la formation a pour objectifs de :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- Faire connaître la politique </w:t>
      </w:r>
      <w:r w:rsidR="00470957">
        <w:rPr>
          <w:rFonts w:ascii="Arial" w:eastAsia="Times New Roman" w:hAnsi="Arial" w:cs="Arial"/>
          <w:color w:val="auto"/>
          <w:sz w:val="20"/>
          <w:szCs w:val="20"/>
          <w:lang w:eastAsia="fr-FR"/>
        </w:rPr>
        <w:t>d’INRAE</w:t>
      </w: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 en matière d’apprentissage (enjeux, objectifs géné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raux et particuliers à </w:t>
      </w:r>
      <w:r w:rsidR="00470957">
        <w:rPr>
          <w:rFonts w:ascii="Arial" w:eastAsia="Times New Roman" w:hAnsi="Arial" w:cs="Arial"/>
          <w:color w:val="auto"/>
          <w:sz w:val="20"/>
          <w:szCs w:val="20"/>
          <w:lang w:eastAsia="fr-FR"/>
        </w:rPr>
        <w:t>INRAE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) ;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- Avoir connaissance des aspects juridiques et réglementaires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 ;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- Identifier les différents acteurs de l’apprentissage et du collectif de travail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 ;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- Comprendre le rôle et les missions du tuteur ; 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- Apporter les méthodes et outils utiles à la transmission des savoir-f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aire constitutifs du « métier » ;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- Suivre et mesurer l’intégration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 ;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- Suivre et mesurer les apprentissages et leur mise e</w:t>
      </w:r>
      <w:r w:rsidR="00B22F56" w:rsidRPr="00B22F56">
        <w:rPr>
          <w:rFonts w:ascii="Arial" w:eastAsia="Times New Roman" w:hAnsi="Arial" w:cs="Arial"/>
          <w:color w:val="auto"/>
          <w:sz w:val="20"/>
          <w:szCs w:val="20"/>
          <w:lang w:eastAsia="fr-FR"/>
        </w:rPr>
        <w:t>n œuvre sur le poste de travail.</w:t>
      </w:r>
    </w:p>
    <w:p w:rsidR="00734756" w:rsidRPr="00B22F56" w:rsidRDefault="00734756" w:rsidP="00B22F56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</w:p>
    <w:p w:rsidR="004C48A4" w:rsidRPr="004C48A4" w:rsidRDefault="004C48A4" w:rsidP="004C48A4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4C48A4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Pour un premier agrément, la formation comporte 3 séquences avec une intersession pour articuler la situation professionnelle à la formation. </w:t>
      </w:r>
    </w:p>
    <w:p w:rsidR="004C48A4" w:rsidRPr="004C48A4" w:rsidRDefault="004C48A4" w:rsidP="004C48A4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4C48A4">
        <w:rPr>
          <w:rFonts w:ascii="Arial" w:eastAsia="Times New Roman" w:hAnsi="Arial" w:cs="Arial"/>
          <w:color w:val="auto"/>
          <w:sz w:val="20"/>
          <w:szCs w:val="20"/>
          <w:lang w:eastAsia="fr-FR"/>
        </w:rPr>
        <w:t>La formation à destination des agents reconduits dans cette mission se déroule sur 2 séquences.</w:t>
      </w:r>
    </w:p>
    <w:p w:rsidR="004C48A4" w:rsidRDefault="004C48A4" w:rsidP="004C48A4">
      <w:pPr>
        <w:pStyle w:val="Default"/>
        <w:jc w:val="both"/>
        <w:rPr>
          <w:color w:val="4472C4"/>
          <w:sz w:val="22"/>
          <w:szCs w:val="22"/>
          <w:lang w:eastAsia="fr-FR"/>
        </w:rPr>
      </w:pPr>
    </w:p>
    <w:p w:rsidR="00734756" w:rsidRPr="00EF6903" w:rsidRDefault="00EF6903" w:rsidP="00EF6903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fr-FR"/>
        </w:rPr>
      </w:pPr>
      <w:r w:rsidRPr="00EF6903"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Le suivi du dispositif de formation est </w:t>
      </w:r>
      <w:r>
        <w:rPr>
          <w:rFonts w:ascii="Arial" w:eastAsia="Times New Roman" w:hAnsi="Arial" w:cs="Arial"/>
          <w:color w:val="auto"/>
          <w:sz w:val="20"/>
          <w:szCs w:val="20"/>
          <w:lang w:eastAsia="fr-FR"/>
        </w:rPr>
        <w:t xml:space="preserve">impératif à la conduite de la mission de Maître d’apprentissage. </w:t>
      </w:r>
    </w:p>
    <w:p w:rsidR="00A53BA8" w:rsidRDefault="00A53BA8" w:rsidP="00CA5F5D">
      <w:pPr>
        <w:rPr>
          <w:sz w:val="20"/>
          <w:szCs w:val="20"/>
          <w:u w:val="single"/>
        </w:rPr>
      </w:pPr>
    </w:p>
    <w:p w:rsidR="008A58B0" w:rsidRDefault="008A58B0" w:rsidP="00572716">
      <w:pPr>
        <w:jc w:val="both"/>
        <w:rPr>
          <w:sz w:val="18"/>
          <w:szCs w:val="18"/>
        </w:rPr>
      </w:pPr>
    </w:p>
    <w:p w:rsidR="00CA5F5D" w:rsidRDefault="00CA5F5D" w:rsidP="00572716">
      <w:pPr>
        <w:jc w:val="both"/>
        <w:rPr>
          <w:sz w:val="18"/>
          <w:szCs w:val="18"/>
        </w:rPr>
      </w:pPr>
    </w:p>
    <w:p w:rsidR="00CA5F5D" w:rsidRDefault="00CA5F5D" w:rsidP="00572716">
      <w:pPr>
        <w:jc w:val="both"/>
        <w:rPr>
          <w:sz w:val="18"/>
          <w:szCs w:val="18"/>
        </w:rPr>
      </w:pPr>
    </w:p>
    <w:p w:rsidR="00CA5F5D" w:rsidRDefault="00CA5F5D" w:rsidP="00572716">
      <w:pPr>
        <w:jc w:val="both"/>
        <w:rPr>
          <w:sz w:val="18"/>
          <w:szCs w:val="18"/>
        </w:rPr>
      </w:pPr>
    </w:p>
    <w:p w:rsidR="00CA5F5D" w:rsidRDefault="00CA5F5D" w:rsidP="00572716">
      <w:pPr>
        <w:jc w:val="both"/>
        <w:rPr>
          <w:sz w:val="18"/>
          <w:szCs w:val="18"/>
        </w:rPr>
      </w:pPr>
    </w:p>
    <w:p w:rsidR="00CA5F5D" w:rsidRDefault="00CA5F5D" w:rsidP="00CA5F5D">
      <w:pPr>
        <w:jc w:val="both"/>
        <w:rPr>
          <w:sz w:val="18"/>
          <w:szCs w:val="18"/>
        </w:rPr>
      </w:pPr>
    </w:p>
    <w:p w:rsidR="00CA5F5D" w:rsidRDefault="00CA5F5D" w:rsidP="00CA5F5D">
      <w:pPr>
        <w:jc w:val="both"/>
        <w:rPr>
          <w:sz w:val="18"/>
          <w:szCs w:val="18"/>
        </w:rPr>
      </w:pPr>
    </w:p>
    <w:p w:rsidR="00F91F9C" w:rsidRDefault="00F91F9C" w:rsidP="00CA5F5D">
      <w:pPr>
        <w:spacing w:line="260" w:lineRule="exact"/>
        <w:jc w:val="center"/>
        <w:rPr>
          <w:b/>
          <w:sz w:val="20"/>
          <w:szCs w:val="20"/>
        </w:rPr>
      </w:pPr>
    </w:p>
    <w:p w:rsidR="00B7693A" w:rsidRPr="00284294" w:rsidRDefault="00B7693A" w:rsidP="00CA5F5D">
      <w:pPr>
        <w:spacing w:line="260" w:lineRule="exact"/>
        <w:jc w:val="center"/>
        <w:rPr>
          <w:b/>
          <w:sz w:val="20"/>
          <w:szCs w:val="20"/>
          <w:u w:val="single"/>
        </w:rPr>
      </w:pPr>
      <w:r w:rsidRPr="00284294">
        <w:rPr>
          <w:b/>
          <w:sz w:val="20"/>
          <w:szCs w:val="20"/>
          <w:u w:val="single"/>
        </w:rPr>
        <w:t>Contacts</w:t>
      </w:r>
    </w:p>
    <w:p w:rsidR="00B7693A" w:rsidRPr="00F91F9C" w:rsidRDefault="00B7693A" w:rsidP="00CA5F5D">
      <w:pPr>
        <w:spacing w:line="260" w:lineRule="exact"/>
        <w:jc w:val="center"/>
        <w:rPr>
          <w:b/>
          <w:sz w:val="20"/>
          <w:szCs w:val="20"/>
        </w:rPr>
      </w:pPr>
    </w:p>
    <w:p w:rsidR="00923750" w:rsidRPr="00F91F9C" w:rsidRDefault="00923750" w:rsidP="00CA5F5D">
      <w:pPr>
        <w:spacing w:line="260" w:lineRule="exact"/>
        <w:jc w:val="center"/>
        <w:rPr>
          <w:b/>
          <w:sz w:val="20"/>
          <w:szCs w:val="20"/>
        </w:rPr>
      </w:pPr>
      <w:r w:rsidRPr="00F91F9C">
        <w:rPr>
          <w:b/>
          <w:sz w:val="20"/>
          <w:szCs w:val="20"/>
        </w:rPr>
        <w:t>Pour toute information d’o</w:t>
      </w:r>
      <w:r w:rsidR="00B7693A">
        <w:rPr>
          <w:b/>
          <w:sz w:val="20"/>
          <w:szCs w:val="20"/>
        </w:rPr>
        <w:t xml:space="preserve">rdre administratif ou juridique </w:t>
      </w:r>
      <w:r w:rsidRPr="00F91F9C">
        <w:rPr>
          <w:b/>
          <w:sz w:val="20"/>
          <w:szCs w:val="20"/>
        </w:rPr>
        <w:t>:</w:t>
      </w:r>
    </w:p>
    <w:p w:rsidR="007E300C" w:rsidRPr="007E300C" w:rsidRDefault="00115052" w:rsidP="00CA5F5D">
      <w:pPr>
        <w:spacing w:line="260" w:lineRule="exact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Direction des Ressources </w:t>
      </w:r>
      <w:r w:rsidRPr="00B22F56">
        <w:rPr>
          <w:b/>
          <w:sz w:val="20"/>
          <w:szCs w:val="20"/>
        </w:rPr>
        <w:t xml:space="preserve">Humaines </w:t>
      </w:r>
      <w:r w:rsidR="00923750" w:rsidRPr="00B22F56">
        <w:rPr>
          <w:b/>
          <w:sz w:val="20"/>
          <w:szCs w:val="20"/>
        </w:rPr>
        <w:t>(</w:t>
      </w:r>
      <w:r w:rsidR="00F07639">
        <w:rPr>
          <w:b/>
          <w:sz w:val="20"/>
          <w:szCs w:val="20"/>
        </w:rPr>
        <w:t>Pôl</w:t>
      </w:r>
      <w:r w:rsidR="00923750" w:rsidRPr="00F91F9C">
        <w:rPr>
          <w:b/>
          <w:sz w:val="20"/>
          <w:szCs w:val="20"/>
        </w:rPr>
        <w:t>e de Politique sociale)</w:t>
      </w:r>
      <w:r w:rsidR="007E300C">
        <w:rPr>
          <w:b/>
          <w:sz w:val="20"/>
          <w:szCs w:val="20"/>
        </w:rPr>
        <w:t xml:space="preserve"> ou</w:t>
      </w:r>
      <w:r w:rsidR="00857A3C">
        <w:rPr>
          <w:b/>
          <w:sz w:val="20"/>
          <w:szCs w:val="20"/>
        </w:rPr>
        <w:t xml:space="preserve"> </w:t>
      </w:r>
      <w:hyperlink r:id="rId9" w:history="1">
        <w:r w:rsidR="00351CF5" w:rsidRPr="00131E40">
          <w:rPr>
            <w:rStyle w:val="Lienhypertexte"/>
            <w:b/>
            <w:sz w:val="20"/>
            <w:szCs w:val="20"/>
          </w:rPr>
          <w:t>apprentissage@inrae.fr</w:t>
        </w:r>
      </w:hyperlink>
      <w:r w:rsidR="00857A3C">
        <w:rPr>
          <w:b/>
          <w:sz w:val="20"/>
          <w:szCs w:val="20"/>
          <w:u w:val="single"/>
        </w:rPr>
        <w:t xml:space="preserve"> </w:t>
      </w:r>
    </w:p>
    <w:p w:rsidR="00923750" w:rsidRPr="00F91F9C" w:rsidRDefault="00923750" w:rsidP="00CA5F5D">
      <w:pPr>
        <w:spacing w:line="260" w:lineRule="exact"/>
        <w:jc w:val="center"/>
        <w:rPr>
          <w:b/>
          <w:sz w:val="20"/>
          <w:szCs w:val="20"/>
        </w:rPr>
      </w:pPr>
    </w:p>
    <w:p w:rsidR="00923750" w:rsidRDefault="00B85ADE" w:rsidP="00CA5F5D">
      <w:pPr>
        <w:spacing w:line="26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Pour toute information liée</w:t>
      </w:r>
      <w:r w:rsidR="00923750" w:rsidRPr="00F91F9C">
        <w:rPr>
          <w:b/>
          <w:sz w:val="20"/>
          <w:szCs w:val="20"/>
        </w:rPr>
        <w:t xml:space="preserve"> aux formati</w:t>
      </w:r>
      <w:r w:rsidR="00B7693A">
        <w:rPr>
          <w:b/>
          <w:sz w:val="20"/>
          <w:szCs w:val="20"/>
        </w:rPr>
        <w:t xml:space="preserve">ons des maîtres d’apprentissage </w:t>
      </w:r>
      <w:r w:rsidR="00923750" w:rsidRPr="00F91F9C">
        <w:rPr>
          <w:b/>
          <w:sz w:val="20"/>
          <w:szCs w:val="20"/>
        </w:rPr>
        <w:t>:</w:t>
      </w:r>
    </w:p>
    <w:p w:rsidR="00B85ADE" w:rsidRPr="00BC2875" w:rsidRDefault="00B85ADE" w:rsidP="00B85ADE">
      <w:pPr>
        <w:spacing w:line="26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Direction des Ressources Humaines </w:t>
      </w:r>
      <w:r w:rsidRPr="00B22F56">
        <w:rPr>
          <w:b/>
          <w:sz w:val="20"/>
          <w:szCs w:val="20"/>
        </w:rPr>
        <w:t xml:space="preserve">(Département Développement RH, Pôle </w:t>
      </w:r>
      <w:r>
        <w:rPr>
          <w:b/>
          <w:sz w:val="20"/>
          <w:szCs w:val="20"/>
        </w:rPr>
        <w:t xml:space="preserve">Formation </w:t>
      </w:r>
      <w:bookmarkStart w:id="0" w:name="_GoBack"/>
      <w:r w:rsidR="00BC2875" w:rsidRPr="00BC2875">
        <w:rPr>
          <w:b/>
          <w:sz w:val="20"/>
          <w:szCs w:val="20"/>
        </w:rPr>
        <w:t>Tout au long de la Vie</w:t>
      </w:r>
      <w:r w:rsidRPr="00BC2875">
        <w:rPr>
          <w:b/>
          <w:sz w:val="20"/>
          <w:szCs w:val="20"/>
        </w:rPr>
        <w:t>)</w:t>
      </w:r>
    </w:p>
    <w:bookmarkEnd w:id="0"/>
    <w:p w:rsidR="00CC69D8" w:rsidRPr="00CC69D8" w:rsidRDefault="00CC69D8" w:rsidP="00CC69D8">
      <w:pPr>
        <w:spacing w:line="260" w:lineRule="exact"/>
        <w:jc w:val="center"/>
        <w:rPr>
          <w:b/>
          <w:sz w:val="20"/>
          <w:szCs w:val="20"/>
        </w:rPr>
      </w:pPr>
    </w:p>
    <w:sectPr w:rsidR="00CC69D8" w:rsidRPr="00CC69D8" w:rsidSect="00F549E8">
      <w:headerReference w:type="default" r:id="rId10"/>
      <w:footerReference w:type="even" r:id="rId11"/>
      <w:footerReference w:type="default" r:id="rId12"/>
      <w:pgSz w:w="11907" w:h="16840" w:code="9"/>
      <w:pgMar w:top="1418" w:right="1418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085" w:rsidRDefault="00412085">
      <w:r>
        <w:separator/>
      </w:r>
    </w:p>
  </w:endnote>
  <w:endnote w:type="continuationSeparator" w:id="0">
    <w:p w:rsidR="00412085" w:rsidRDefault="0041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4B" w:rsidRDefault="0061114B" w:rsidP="00D8652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1114B" w:rsidRDefault="0061114B" w:rsidP="00F64A4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4B" w:rsidRDefault="0061114B" w:rsidP="00F64A49">
    <w:pPr>
      <w:pStyle w:val="Pieddepage"/>
      <w:ind w:right="360"/>
    </w:pPr>
  </w:p>
  <w:p w:rsidR="0061114B" w:rsidRPr="00D86528" w:rsidRDefault="0061114B" w:rsidP="00D86528">
    <w:pPr>
      <w:pStyle w:val="Pieddepage"/>
      <w:framePr w:wrap="around" w:vAnchor="text" w:hAnchor="page" w:x="10162" w:y="227"/>
      <w:rPr>
        <w:rStyle w:val="Numrodepage"/>
        <w:sz w:val="18"/>
        <w:szCs w:val="18"/>
      </w:rPr>
    </w:pPr>
    <w:r w:rsidRPr="00D86528">
      <w:rPr>
        <w:rStyle w:val="Numrodepage"/>
        <w:sz w:val="18"/>
        <w:szCs w:val="18"/>
      </w:rPr>
      <w:fldChar w:fldCharType="begin"/>
    </w:r>
    <w:r w:rsidRPr="00D86528">
      <w:rPr>
        <w:rStyle w:val="Numrodepage"/>
        <w:sz w:val="18"/>
        <w:szCs w:val="18"/>
      </w:rPr>
      <w:instrText xml:space="preserve">PAGE  </w:instrText>
    </w:r>
    <w:r w:rsidRPr="00D86528">
      <w:rPr>
        <w:rStyle w:val="Numrodepage"/>
        <w:sz w:val="18"/>
        <w:szCs w:val="18"/>
      </w:rPr>
      <w:fldChar w:fldCharType="separate"/>
    </w:r>
    <w:r w:rsidR="006639CE">
      <w:rPr>
        <w:rStyle w:val="Numrodepage"/>
        <w:noProof/>
        <w:sz w:val="18"/>
        <w:szCs w:val="18"/>
      </w:rPr>
      <w:t>3</w:t>
    </w:r>
    <w:r w:rsidRPr="00D86528">
      <w:rPr>
        <w:rStyle w:val="Numrodepage"/>
        <w:sz w:val="18"/>
        <w:szCs w:val="18"/>
      </w:rPr>
      <w:fldChar w:fldCharType="end"/>
    </w:r>
    <w:r w:rsidRPr="00D86528">
      <w:rPr>
        <w:rStyle w:val="Numrodepage"/>
        <w:sz w:val="18"/>
        <w:szCs w:val="18"/>
      </w:rPr>
      <w:t>/</w:t>
    </w:r>
    <w:r w:rsidRPr="00D86528">
      <w:rPr>
        <w:rStyle w:val="Numrodepage"/>
        <w:sz w:val="18"/>
        <w:szCs w:val="18"/>
      </w:rPr>
      <w:fldChar w:fldCharType="begin"/>
    </w:r>
    <w:r w:rsidRPr="00D86528">
      <w:rPr>
        <w:rStyle w:val="Numrodepage"/>
        <w:sz w:val="18"/>
        <w:szCs w:val="18"/>
      </w:rPr>
      <w:instrText xml:space="preserve"> NUMPAGES </w:instrText>
    </w:r>
    <w:r w:rsidRPr="00D86528">
      <w:rPr>
        <w:rStyle w:val="Numrodepage"/>
        <w:sz w:val="18"/>
        <w:szCs w:val="18"/>
      </w:rPr>
      <w:fldChar w:fldCharType="separate"/>
    </w:r>
    <w:r w:rsidR="006639CE">
      <w:rPr>
        <w:rStyle w:val="Numrodepage"/>
        <w:noProof/>
        <w:sz w:val="18"/>
        <w:szCs w:val="18"/>
      </w:rPr>
      <w:t>4</w:t>
    </w:r>
    <w:r w:rsidRPr="00D86528">
      <w:rPr>
        <w:rStyle w:val="Numrodepage"/>
        <w:sz w:val="18"/>
        <w:szCs w:val="18"/>
      </w:rPr>
      <w:fldChar w:fldCharType="end"/>
    </w:r>
  </w:p>
  <w:p w:rsidR="0061114B" w:rsidRDefault="0061114B">
    <w:pPr>
      <w:pStyle w:val="Pieddepage"/>
    </w:pPr>
  </w:p>
  <w:p w:rsidR="0061114B" w:rsidRDefault="006111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085" w:rsidRDefault="00412085">
      <w:r>
        <w:separator/>
      </w:r>
    </w:p>
  </w:footnote>
  <w:footnote w:type="continuationSeparator" w:id="0">
    <w:p w:rsidR="00412085" w:rsidRDefault="00412085">
      <w:r>
        <w:continuationSeparator/>
      </w:r>
    </w:p>
  </w:footnote>
  <w:footnote w:id="1">
    <w:p w:rsidR="00251EDF" w:rsidRDefault="00251EDF">
      <w:pPr>
        <w:pStyle w:val="Notedebasdepage"/>
      </w:pPr>
      <w:r w:rsidRPr="00251EDF">
        <w:rPr>
          <w:sz w:val="16"/>
          <w:szCs w:val="16"/>
        </w:rPr>
        <w:footnoteRef/>
      </w:r>
      <w:r w:rsidRPr="00251EDF">
        <w:rPr>
          <w:sz w:val="16"/>
          <w:szCs w:val="16"/>
        </w:rPr>
        <w:t xml:space="preserve"> Procédure de financement identique à celle d’un recrutement de CDD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4B" w:rsidRDefault="00351CF5">
    <w:pPr>
      <w:pStyle w:val="En-tte"/>
    </w:pPr>
    <w:r>
      <w:rPr>
        <w:noProof/>
      </w:rPr>
      <w:drawing>
        <wp:anchor distT="0" distB="0" distL="114300" distR="252095" simplePos="0" relativeHeight="251659264" behindDoc="0" locked="0" layoutInCell="1" allowOverlap="1" wp14:anchorId="4B62207A" wp14:editId="0E84BAD2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159200" cy="306000"/>
          <wp:effectExtent l="0" t="0" r="3175" b="0"/>
          <wp:wrapSquare wrapText="bothSides"/>
          <wp:docPr id="340" name="Image 3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1114B" w:rsidRDefault="006111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766D"/>
    <w:multiLevelType w:val="hybridMultilevel"/>
    <w:tmpl w:val="5DBC780A"/>
    <w:lvl w:ilvl="0" w:tplc="F39AFD12">
      <w:start w:val="1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E571D3"/>
    <w:multiLevelType w:val="hybridMultilevel"/>
    <w:tmpl w:val="D3E48A80"/>
    <w:lvl w:ilvl="0" w:tplc="3968B0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B22B03"/>
    <w:multiLevelType w:val="hybridMultilevel"/>
    <w:tmpl w:val="848675FA"/>
    <w:lvl w:ilvl="0" w:tplc="7E6682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45908"/>
    <w:multiLevelType w:val="hybridMultilevel"/>
    <w:tmpl w:val="5C302E84"/>
    <w:lvl w:ilvl="0" w:tplc="10DE959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D2452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A672565"/>
    <w:multiLevelType w:val="hybridMultilevel"/>
    <w:tmpl w:val="2A12561A"/>
    <w:lvl w:ilvl="0" w:tplc="BE207E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41C6A"/>
    <w:multiLevelType w:val="hybridMultilevel"/>
    <w:tmpl w:val="E4A2C4E4"/>
    <w:lvl w:ilvl="0" w:tplc="5812134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32146F8"/>
    <w:multiLevelType w:val="singleLevel"/>
    <w:tmpl w:val="A0FEAAAC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8" w15:restartNumberingAfterBreak="0">
    <w:nsid w:val="3B574506"/>
    <w:multiLevelType w:val="hybridMultilevel"/>
    <w:tmpl w:val="C8A02862"/>
    <w:lvl w:ilvl="0" w:tplc="5E6249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563B50"/>
    <w:multiLevelType w:val="hybridMultilevel"/>
    <w:tmpl w:val="0ED8F05A"/>
    <w:lvl w:ilvl="0" w:tplc="F7D0872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439AF"/>
    <w:multiLevelType w:val="multilevel"/>
    <w:tmpl w:val="3E50180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5481354"/>
    <w:multiLevelType w:val="singleLevel"/>
    <w:tmpl w:val="B3508B9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2" w15:restartNumberingAfterBreak="0">
    <w:nsid w:val="495B619A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0FC278A"/>
    <w:multiLevelType w:val="singleLevel"/>
    <w:tmpl w:val="2AE4C23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4" w15:restartNumberingAfterBreak="0">
    <w:nsid w:val="557A6A90"/>
    <w:multiLevelType w:val="singleLevel"/>
    <w:tmpl w:val="D4AA1CD8"/>
    <w:lvl w:ilvl="0">
      <w:start w:val="28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5" w15:restartNumberingAfterBreak="0">
    <w:nsid w:val="5B8263BE"/>
    <w:multiLevelType w:val="singleLevel"/>
    <w:tmpl w:val="DEDAF8D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6" w15:restartNumberingAfterBreak="0">
    <w:nsid w:val="6070799F"/>
    <w:multiLevelType w:val="hybridMultilevel"/>
    <w:tmpl w:val="612C6462"/>
    <w:lvl w:ilvl="0" w:tplc="FA285D5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BD015F"/>
    <w:multiLevelType w:val="singleLevel"/>
    <w:tmpl w:val="73BEB64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61E2551A"/>
    <w:multiLevelType w:val="singleLevel"/>
    <w:tmpl w:val="0ACEFEC6"/>
    <w:lvl w:ilvl="0">
      <w:start w:val="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 w15:restartNumberingAfterBreak="0">
    <w:nsid w:val="6ECA7BC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2E04FB3"/>
    <w:multiLevelType w:val="hybridMultilevel"/>
    <w:tmpl w:val="F86CE282"/>
    <w:lvl w:ilvl="0" w:tplc="DF6CB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7F2C40"/>
    <w:multiLevelType w:val="singleLevel"/>
    <w:tmpl w:val="C0DA109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2" w15:restartNumberingAfterBreak="0">
    <w:nsid w:val="76114B4E"/>
    <w:multiLevelType w:val="singleLevel"/>
    <w:tmpl w:val="690419F2"/>
    <w:lvl w:ilvl="0">
      <w:start w:val="281"/>
      <w:numFmt w:val="bullet"/>
      <w:lvlText w:val="-"/>
      <w:lvlJc w:val="left"/>
      <w:pPr>
        <w:tabs>
          <w:tab w:val="num" w:pos="5303"/>
        </w:tabs>
        <w:ind w:left="5303" w:hanging="360"/>
      </w:pPr>
      <w:rPr>
        <w:rFonts w:ascii="Times New Roman" w:hAnsi="Times New Roman" w:hint="default"/>
      </w:rPr>
    </w:lvl>
  </w:abstractNum>
  <w:abstractNum w:abstractNumId="23" w15:restartNumberingAfterBreak="0">
    <w:nsid w:val="775F435F"/>
    <w:multiLevelType w:val="singleLevel"/>
    <w:tmpl w:val="CB2A895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15"/>
  </w:num>
  <w:num w:numId="5">
    <w:abstractNumId w:val="23"/>
  </w:num>
  <w:num w:numId="6">
    <w:abstractNumId w:val="19"/>
  </w:num>
  <w:num w:numId="7">
    <w:abstractNumId w:val="18"/>
  </w:num>
  <w:num w:numId="8">
    <w:abstractNumId w:val="21"/>
  </w:num>
  <w:num w:numId="9">
    <w:abstractNumId w:val="7"/>
  </w:num>
  <w:num w:numId="10">
    <w:abstractNumId w:val="13"/>
  </w:num>
  <w:num w:numId="11">
    <w:abstractNumId w:val="12"/>
  </w:num>
  <w:num w:numId="12">
    <w:abstractNumId w:val="4"/>
  </w:num>
  <w:num w:numId="13">
    <w:abstractNumId w:val="17"/>
  </w:num>
  <w:num w:numId="14">
    <w:abstractNumId w:val="10"/>
  </w:num>
  <w:num w:numId="15">
    <w:abstractNumId w:val="6"/>
  </w:num>
  <w:num w:numId="16">
    <w:abstractNumId w:val="0"/>
  </w:num>
  <w:num w:numId="17">
    <w:abstractNumId w:val="1"/>
  </w:num>
  <w:num w:numId="18">
    <w:abstractNumId w:val="20"/>
  </w:num>
  <w:num w:numId="19">
    <w:abstractNumId w:val="5"/>
  </w:num>
  <w:num w:numId="20">
    <w:abstractNumId w:val="8"/>
  </w:num>
  <w:num w:numId="21">
    <w:abstractNumId w:val="16"/>
  </w:num>
  <w:num w:numId="22">
    <w:abstractNumId w:val="2"/>
  </w:num>
  <w:num w:numId="23">
    <w:abstractNumId w:val="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gutterAtTop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B51"/>
    <w:rsid w:val="00046809"/>
    <w:rsid w:val="0007131E"/>
    <w:rsid w:val="00073399"/>
    <w:rsid w:val="00076F2C"/>
    <w:rsid w:val="00082EC5"/>
    <w:rsid w:val="00084B68"/>
    <w:rsid w:val="000964D6"/>
    <w:rsid w:val="000A0E5F"/>
    <w:rsid w:val="000A66EB"/>
    <w:rsid w:val="000B0C33"/>
    <w:rsid w:val="000B5D86"/>
    <w:rsid w:val="000C1DEB"/>
    <w:rsid w:val="000C72D3"/>
    <w:rsid w:val="000C79DB"/>
    <w:rsid w:val="000D1203"/>
    <w:rsid w:val="000D48E4"/>
    <w:rsid w:val="000E0D98"/>
    <w:rsid w:val="00103668"/>
    <w:rsid w:val="00107A54"/>
    <w:rsid w:val="00110C90"/>
    <w:rsid w:val="00112711"/>
    <w:rsid w:val="00115052"/>
    <w:rsid w:val="00122995"/>
    <w:rsid w:val="00142EDA"/>
    <w:rsid w:val="0015417D"/>
    <w:rsid w:val="00154CA7"/>
    <w:rsid w:val="001566D7"/>
    <w:rsid w:val="00157AFE"/>
    <w:rsid w:val="0017545C"/>
    <w:rsid w:val="001932E0"/>
    <w:rsid w:val="00193503"/>
    <w:rsid w:val="001A2FD6"/>
    <w:rsid w:val="001A421E"/>
    <w:rsid w:val="001B0941"/>
    <w:rsid w:val="001C2180"/>
    <w:rsid w:val="001C38A4"/>
    <w:rsid w:val="001C426E"/>
    <w:rsid w:val="001D2536"/>
    <w:rsid w:val="001D57B5"/>
    <w:rsid w:val="001F7469"/>
    <w:rsid w:val="00202A30"/>
    <w:rsid w:val="00215758"/>
    <w:rsid w:val="002217FE"/>
    <w:rsid w:val="00237145"/>
    <w:rsid w:val="00237E63"/>
    <w:rsid w:val="00243E02"/>
    <w:rsid w:val="00245420"/>
    <w:rsid w:val="00250269"/>
    <w:rsid w:val="00251EDF"/>
    <w:rsid w:val="00257057"/>
    <w:rsid w:val="00265A45"/>
    <w:rsid w:val="00265FDD"/>
    <w:rsid w:val="00266B2E"/>
    <w:rsid w:val="00280E5B"/>
    <w:rsid w:val="00284294"/>
    <w:rsid w:val="0028672E"/>
    <w:rsid w:val="002A024E"/>
    <w:rsid w:val="002B153E"/>
    <w:rsid w:val="002C0C56"/>
    <w:rsid w:val="002C3929"/>
    <w:rsid w:val="002D4A09"/>
    <w:rsid w:val="002E0E23"/>
    <w:rsid w:val="002E5BF5"/>
    <w:rsid w:val="002F2977"/>
    <w:rsid w:val="002F375D"/>
    <w:rsid w:val="002F749C"/>
    <w:rsid w:val="003016E7"/>
    <w:rsid w:val="00332C8C"/>
    <w:rsid w:val="00334DF4"/>
    <w:rsid w:val="003406EA"/>
    <w:rsid w:val="00343FB6"/>
    <w:rsid w:val="0034615D"/>
    <w:rsid w:val="00351CF5"/>
    <w:rsid w:val="003624F0"/>
    <w:rsid w:val="00363431"/>
    <w:rsid w:val="00365177"/>
    <w:rsid w:val="00366E7C"/>
    <w:rsid w:val="003823F0"/>
    <w:rsid w:val="0038467F"/>
    <w:rsid w:val="003909A1"/>
    <w:rsid w:val="0039173C"/>
    <w:rsid w:val="003A1172"/>
    <w:rsid w:val="003A7AB0"/>
    <w:rsid w:val="003B1DB4"/>
    <w:rsid w:val="003B50F4"/>
    <w:rsid w:val="003B603A"/>
    <w:rsid w:val="003B61AC"/>
    <w:rsid w:val="003B6D8E"/>
    <w:rsid w:val="003E0F3B"/>
    <w:rsid w:val="003F0922"/>
    <w:rsid w:val="00410470"/>
    <w:rsid w:val="00412085"/>
    <w:rsid w:val="00413B51"/>
    <w:rsid w:val="00415250"/>
    <w:rsid w:val="0042330E"/>
    <w:rsid w:val="004238C6"/>
    <w:rsid w:val="00425EBA"/>
    <w:rsid w:val="00427277"/>
    <w:rsid w:val="00451D78"/>
    <w:rsid w:val="00452FB2"/>
    <w:rsid w:val="004566DB"/>
    <w:rsid w:val="004626BF"/>
    <w:rsid w:val="00465534"/>
    <w:rsid w:val="00470957"/>
    <w:rsid w:val="0048065F"/>
    <w:rsid w:val="00481CED"/>
    <w:rsid w:val="00487055"/>
    <w:rsid w:val="00493AA6"/>
    <w:rsid w:val="004B2D67"/>
    <w:rsid w:val="004B7D1F"/>
    <w:rsid w:val="004C48A4"/>
    <w:rsid w:val="0051500C"/>
    <w:rsid w:val="00521321"/>
    <w:rsid w:val="00523A89"/>
    <w:rsid w:val="005255A2"/>
    <w:rsid w:val="00526ADA"/>
    <w:rsid w:val="00546118"/>
    <w:rsid w:val="00556AC9"/>
    <w:rsid w:val="00564552"/>
    <w:rsid w:val="00572716"/>
    <w:rsid w:val="0057296C"/>
    <w:rsid w:val="00577F97"/>
    <w:rsid w:val="00583C16"/>
    <w:rsid w:val="005844E5"/>
    <w:rsid w:val="005A4E82"/>
    <w:rsid w:val="005B08B8"/>
    <w:rsid w:val="005B412E"/>
    <w:rsid w:val="005C284A"/>
    <w:rsid w:val="005D00CA"/>
    <w:rsid w:val="005D098A"/>
    <w:rsid w:val="005D3215"/>
    <w:rsid w:val="005E16CB"/>
    <w:rsid w:val="005F4B17"/>
    <w:rsid w:val="005F5082"/>
    <w:rsid w:val="005F62C9"/>
    <w:rsid w:val="0061114B"/>
    <w:rsid w:val="00625568"/>
    <w:rsid w:val="006405B9"/>
    <w:rsid w:val="006442F8"/>
    <w:rsid w:val="00647A69"/>
    <w:rsid w:val="00653FD0"/>
    <w:rsid w:val="00654AB1"/>
    <w:rsid w:val="006639CE"/>
    <w:rsid w:val="0067002F"/>
    <w:rsid w:val="00670EFA"/>
    <w:rsid w:val="006714D5"/>
    <w:rsid w:val="006874C6"/>
    <w:rsid w:val="006A45B2"/>
    <w:rsid w:val="006A7DD6"/>
    <w:rsid w:val="006B4696"/>
    <w:rsid w:val="006B515F"/>
    <w:rsid w:val="006C1FD9"/>
    <w:rsid w:val="006C72EA"/>
    <w:rsid w:val="006D2341"/>
    <w:rsid w:val="006E7B51"/>
    <w:rsid w:val="006F1955"/>
    <w:rsid w:val="006F56AB"/>
    <w:rsid w:val="0070081E"/>
    <w:rsid w:val="00726A64"/>
    <w:rsid w:val="00734756"/>
    <w:rsid w:val="007437E4"/>
    <w:rsid w:val="007572D6"/>
    <w:rsid w:val="00760AE1"/>
    <w:rsid w:val="007763B4"/>
    <w:rsid w:val="00780E3A"/>
    <w:rsid w:val="007848F8"/>
    <w:rsid w:val="00784BAD"/>
    <w:rsid w:val="0078725F"/>
    <w:rsid w:val="00793BF7"/>
    <w:rsid w:val="00796AD4"/>
    <w:rsid w:val="007A0C4E"/>
    <w:rsid w:val="007B4746"/>
    <w:rsid w:val="007B77D1"/>
    <w:rsid w:val="007D61FD"/>
    <w:rsid w:val="007E300C"/>
    <w:rsid w:val="00801893"/>
    <w:rsid w:val="008114FE"/>
    <w:rsid w:val="0081227B"/>
    <w:rsid w:val="008128FA"/>
    <w:rsid w:val="008131BF"/>
    <w:rsid w:val="00820442"/>
    <w:rsid w:val="00824F2F"/>
    <w:rsid w:val="0083309F"/>
    <w:rsid w:val="0083535A"/>
    <w:rsid w:val="00840405"/>
    <w:rsid w:val="0085331D"/>
    <w:rsid w:val="008538BA"/>
    <w:rsid w:val="008570A1"/>
    <w:rsid w:val="00857A3C"/>
    <w:rsid w:val="00862F6A"/>
    <w:rsid w:val="00866EA4"/>
    <w:rsid w:val="008A3488"/>
    <w:rsid w:val="008A45FE"/>
    <w:rsid w:val="008A58B0"/>
    <w:rsid w:val="008A61BE"/>
    <w:rsid w:val="008A7E36"/>
    <w:rsid w:val="008B7622"/>
    <w:rsid w:val="008D31ED"/>
    <w:rsid w:val="008D76C9"/>
    <w:rsid w:val="008E45CF"/>
    <w:rsid w:val="008E527B"/>
    <w:rsid w:val="008F1034"/>
    <w:rsid w:val="008F1219"/>
    <w:rsid w:val="008F1842"/>
    <w:rsid w:val="00900935"/>
    <w:rsid w:val="00904573"/>
    <w:rsid w:val="00910E0C"/>
    <w:rsid w:val="00923750"/>
    <w:rsid w:val="00925604"/>
    <w:rsid w:val="00932077"/>
    <w:rsid w:val="00947923"/>
    <w:rsid w:val="00950747"/>
    <w:rsid w:val="0095093F"/>
    <w:rsid w:val="00950FE1"/>
    <w:rsid w:val="00962A51"/>
    <w:rsid w:val="009669D3"/>
    <w:rsid w:val="00973DA6"/>
    <w:rsid w:val="00993A6D"/>
    <w:rsid w:val="00994749"/>
    <w:rsid w:val="00997E4D"/>
    <w:rsid w:val="009B191D"/>
    <w:rsid w:val="009B60AD"/>
    <w:rsid w:val="009D1246"/>
    <w:rsid w:val="009D21EF"/>
    <w:rsid w:val="009E2259"/>
    <w:rsid w:val="009F74EA"/>
    <w:rsid w:val="00A03CC7"/>
    <w:rsid w:val="00A03D1D"/>
    <w:rsid w:val="00A152DB"/>
    <w:rsid w:val="00A15782"/>
    <w:rsid w:val="00A20A09"/>
    <w:rsid w:val="00A21EA8"/>
    <w:rsid w:val="00A53BA8"/>
    <w:rsid w:val="00A67247"/>
    <w:rsid w:val="00A67D7E"/>
    <w:rsid w:val="00A74DC6"/>
    <w:rsid w:val="00A812E1"/>
    <w:rsid w:val="00A84EDE"/>
    <w:rsid w:val="00A8548D"/>
    <w:rsid w:val="00AB4B69"/>
    <w:rsid w:val="00AC74DA"/>
    <w:rsid w:val="00AD0D96"/>
    <w:rsid w:val="00AD6433"/>
    <w:rsid w:val="00AE29F1"/>
    <w:rsid w:val="00AE79AE"/>
    <w:rsid w:val="00AF15EF"/>
    <w:rsid w:val="00B07983"/>
    <w:rsid w:val="00B2134C"/>
    <w:rsid w:val="00B21E2B"/>
    <w:rsid w:val="00B22F56"/>
    <w:rsid w:val="00B233DB"/>
    <w:rsid w:val="00B248A0"/>
    <w:rsid w:val="00B25546"/>
    <w:rsid w:val="00B31BD0"/>
    <w:rsid w:val="00B36A58"/>
    <w:rsid w:val="00B4106E"/>
    <w:rsid w:val="00B523B2"/>
    <w:rsid w:val="00B5339B"/>
    <w:rsid w:val="00B72189"/>
    <w:rsid w:val="00B7693A"/>
    <w:rsid w:val="00B80FE5"/>
    <w:rsid w:val="00B85ADE"/>
    <w:rsid w:val="00B85EF1"/>
    <w:rsid w:val="00B921AC"/>
    <w:rsid w:val="00B93653"/>
    <w:rsid w:val="00BB1235"/>
    <w:rsid w:val="00BC2875"/>
    <w:rsid w:val="00BC5B4D"/>
    <w:rsid w:val="00BD0A84"/>
    <w:rsid w:val="00BD29DD"/>
    <w:rsid w:val="00BD4084"/>
    <w:rsid w:val="00BD7FD8"/>
    <w:rsid w:val="00BE0E69"/>
    <w:rsid w:val="00BF46E6"/>
    <w:rsid w:val="00C0336E"/>
    <w:rsid w:val="00C17975"/>
    <w:rsid w:val="00C3348F"/>
    <w:rsid w:val="00C37352"/>
    <w:rsid w:val="00C422BF"/>
    <w:rsid w:val="00C43CCA"/>
    <w:rsid w:val="00C4798E"/>
    <w:rsid w:val="00C47EFD"/>
    <w:rsid w:val="00C56773"/>
    <w:rsid w:val="00C56F30"/>
    <w:rsid w:val="00C6020E"/>
    <w:rsid w:val="00C62E9E"/>
    <w:rsid w:val="00C72FEB"/>
    <w:rsid w:val="00C74100"/>
    <w:rsid w:val="00C93320"/>
    <w:rsid w:val="00C93D5C"/>
    <w:rsid w:val="00CA07C1"/>
    <w:rsid w:val="00CA5F5D"/>
    <w:rsid w:val="00CA7295"/>
    <w:rsid w:val="00CB6C61"/>
    <w:rsid w:val="00CC69D8"/>
    <w:rsid w:val="00D145D8"/>
    <w:rsid w:val="00D25A0F"/>
    <w:rsid w:val="00D304D1"/>
    <w:rsid w:val="00D423AC"/>
    <w:rsid w:val="00D54D45"/>
    <w:rsid w:val="00D648AF"/>
    <w:rsid w:val="00D713C6"/>
    <w:rsid w:val="00D76197"/>
    <w:rsid w:val="00D80A3E"/>
    <w:rsid w:val="00D83C7E"/>
    <w:rsid w:val="00D84798"/>
    <w:rsid w:val="00D86528"/>
    <w:rsid w:val="00DA2EEE"/>
    <w:rsid w:val="00DB3C89"/>
    <w:rsid w:val="00DC0F08"/>
    <w:rsid w:val="00DD2993"/>
    <w:rsid w:val="00DD6DC3"/>
    <w:rsid w:val="00DF5EC4"/>
    <w:rsid w:val="00E01645"/>
    <w:rsid w:val="00E04395"/>
    <w:rsid w:val="00E057CB"/>
    <w:rsid w:val="00E102DC"/>
    <w:rsid w:val="00E1326F"/>
    <w:rsid w:val="00E17416"/>
    <w:rsid w:val="00E22607"/>
    <w:rsid w:val="00E31FE7"/>
    <w:rsid w:val="00E3489D"/>
    <w:rsid w:val="00E51E3F"/>
    <w:rsid w:val="00E52D3E"/>
    <w:rsid w:val="00E61EF9"/>
    <w:rsid w:val="00E71EFE"/>
    <w:rsid w:val="00E82172"/>
    <w:rsid w:val="00E832D6"/>
    <w:rsid w:val="00E84741"/>
    <w:rsid w:val="00E84AAC"/>
    <w:rsid w:val="00E84DB3"/>
    <w:rsid w:val="00E85F3B"/>
    <w:rsid w:val="00E9121D"/>
    <w:rsid w:val="00E93A20"/>
    <w:rsid w:val="00EA3133"/>
    <w:rsid w:val="00EB4B36"/>
    <w:rsid w:val="00EB78B5"/>
    <w:rsid w:val="00EC17C6"/>
    <w:rsid w:val="00EC4CE6"/>
    <w:rsid w:val="00EC7F35"/>
    <w:rsid w:val="00EE456B"/>
    <w:rsid w:val="00EE4E12"/>
    <w:rsid w:val="00EF6903"/>
    <w:rsid w:val="00F01E5C"/>
    <w:rsid w:val="00F07639"/>
    <w:rsid w:val="00F1141E"/>
    <w:rsid w:val="00F22940"/>
    <w:rsid w:val="00F26139"/>
    <w:rsid w:val="00F3121C"/>
    <w:rsid w:val="00F366F8"/>
    <w:rsid w:val="00F439FE"/>
    <w:rsid w:val="00F44540"/>
    <w:rsid w:val="00F51838"/>
    <w:rsid w:val="00F51A1B"/>
    <w:rsid w:val="00F549E8"/>
    <w:rsid w:val="00F61AD8"/>
    <w:rsid w:val="00F64A49"/>
    <w:rsid w:val="00F747F5"/>
    <w:rsid w:val="00F91A5C"/>
    <w:rsid w:val="00F91F9C"/>
    <w:rsid w:val="00F948D2"/>
    <w:rsid w:val="00FA2DF0"/>
    <w:rsid w:val="00FA75B4"/>
    <w:rsid w:val="00FB73B6"/>
    <w:rsid w:val="00FC139A"/>
    <w:rsid w:val="00FC3C01"/>
    <w:rsid w:val="00FC4DCE"/>
    <w:rsid w:val="00FC7A08"/>
    <w:rsid w:val="00FC7C7D"/>
    <w:rsid w:val="00FD5BBF"/>
    <w:rsid w:val="00FE242A"/>
    <w:rsid w:val="00F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0D41B3A6"/>
  <w15:chartTrackingRefBased/>
  <w15:docId w15:val="{DE02B277-9A60-4A92-8442-05B65C63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bCs/>
      <w:sz w:val="20"/>
      <w:szCs w:val="20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ind w:firstLine="708"/>
      <w:jc w:val="right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bCs/>
      <w:sz w:val="14"/>
      <w:szCs w:val="1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ind w:left="4956"/>
    </w:pPr>
  </w:style>
  <w:style w:type="paragraph" w:styleId="Corpsdetexte">
    <w:name w:val="Body Text"/>
    <w:basedOn w:val="Normal"/>
    <w:pPr>
      <w:jc w:val="both"/>
    </w:p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2">
    <w:name w:val="Body Text 2"/>
    <w:basedOn w:val="Normal"/>
    <w:pPr>
      <w:jc w:val="both"/>
    </w:pPr>
    <w:rPr>
      <w:b/>
      <w:bCs/>
      <w:sz w:val="18"/>
      <w:szCs w:val="18"/>
    </w:rPr>
  </w:style>
  <w:style w:type="paragraph" w:styleId="Corpsdetexte3">
    <w:name w:val="Body Text 3"/>
    <w:basedOn w:val="Normal"/>
    <w:pPr>
      <w:jc w:val="both"/>
    </w:pPr>
    <w:rPr>
      <w:sz w:val="20"/>
      <w:szCs w:val="20"/>
    </w:rPr>
  </w:style>
  <w:style w:type="paragraph" w:styleId="Retraitcorpsdetexte2">
    <w:name w:val="Body Text Indent 2"/>
    <w:basedOn w:val="Normal"/>
    <w:pPr>
      <w:ind w:left="1134"/>
      <w:jc w:val="both"/>
    </w:pPr>
    <w:rPr>
      <w:sz w:val="20"/>
      <w:szCs w:val="20"/>
    </w:rPr>
  </w:style>
  <w:style w:type="paragraph" w:styleId="Retraitcorpsdetexte3">
    <w:name w:val="Body Text Indent 3"/>
    <w:basedOn w:val="Normal"/>
    <w:pPr>
      <w:ind w:left="1065"/>
      <w:jc w:val="both"/>
    </w:p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7A0C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237E63"/>
    <w:pPr>
      <w:tabs>
        <w:tab w:val="center" w:pos="4536"/>
        <w:tab w:val="right" w:pos="9072"/>
      </w:tabs>
    </w:pPr>
    <w:rPr>
      <w:color w:val="0000FF"/>
      <w:kern w:val="28"/>
    </w:rPr>
  </w:style>
  <w:style w:type="paragraph" w:styleId="Pieddepage">
    <w:name w:val="footer"/>
    <w:basedOn w:val="Normal"/>
    <w:rsid w:val="00265A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4A49"/>
  </w:style>
  <w:style w:type="paragraph" w:styleId="Paragraphedeliste">
    <w:name w:val="List Paragraph"/>
    <w:basedOn w:val="Normal"/>
    <w:uiPriority w:val="34"/>
    <w:qFormat/>
    <w:rsid w:val="00F549E8"/>
    <w:pPr>
      <w:ind w:left="708"/>
    </w:pPr>
  </w:style>
  <w:style w:type="paragraph" w:customStyle="1" w:styleId="Default">
    <w:name w:val="Default"/>
    <w:rsid w:val="007347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rentissage@inrae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prentissage@inrae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lettres%20APE\Notif%20d'admi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EDCB6-B76A-4F13-9B70-D7F5B245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Notif d'admis</Template>
  <TotalTime>0</TotalTime>
  <Pages>4</Pages>
  <Words>1279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Directeur Général de l’Institut</vt:lpstr>
    </vt:vector>
  </TitlesOfParts>
  <Company>DRH</Company>
  <LinksUpToDate>false</LinksUpToDate>
  <CharactersWithSpaces>8533</CharactersWithSpaces>
  <SharedDoc>false</SharedDoc>
  <HLinks>
    <vt:vector size="30" baseType="variant">
      <vt:variant>
        <vt:i4>7995464</vt:i4>
      </vt:variant>
      <vt:variant>
        <vt:i4>12</vt:i4>
      </vt:variant>
      <vt:variant>
        <vt:i4>0</vt:i4>
      </vt:variant>
      <vt:variant>
        <vt:i4>5</vt:i4>
      </vt:variant>
      <vt:variant>
        <vt:lpwstr>mailto:Martine.Coutarel-Lorieu@inra.fr</vt:lpwstr>
      </vt:variant>
      <vt:variant>
        <vt:lpwstr/>
      </vt:variant>
      <vt:variant>
        <vt:i4>2621454</vt:i4>
      </vt:variant>
      <vt:variant>
        <vt:i4>9</vt:i4>
      </vt:variant>
      <vt:variant>
        <vt:i4>0</vt:i4>
      </vt:variant>
      <vt:variant>
        <vt:i4>5</vt:i4>
      </vt:variant>
      <vt:variant>
        <vt:lpwstr>mailto:khadija-faiza.sehlaoui@inra.fr</vt:lpwstr>
      </vt:variant>
      <vt:variant>
        <vt:lpwstr/>
      </vt:variant>
      <vt:variant>
        <vt:i4>5374066</vt:i4>
      </vt:variant>
      <vt:variant>
        <vt:i4>6</vt:i4>
      </vt:variant>
      <vt:variant>
        <vt:i4>0</vt:i4>
      </vt:variant>
      <vt:variant>
        <vt:i4>5</vt:i4>
      </vt:variant>
      <vt:variant>
        <vt:lpwstr>mailto:apprentissage@inra.fr</vt:lpwstr>
      </vt:variant>
      <vt:variant>
        <vt:lpwstr/>
      </vt:variant>
      <vt:variant>
        <vt:i4>7143437</vt:i4>
      </vt:variant>
      <vt:variant>
        <vt:i4>3</vt:i4>
      </vt:variant>
      <vt:variant>
        <vt:i4>0</vt:i4>
      </vt:variant>
      <vt:variant>
        <vt:i4>5</vt:i4>
      </vt:variant>
      <vt:variant>
        <vt:lpwstr>mailto:anne.froberger@inra.fr</vt:lpwstr>
      </vt:variant>
      <vt:variant>
        <vt:lpwstr/>
      </vt:variant>
      <vt:variant>
        <vt:i4>5374066</vt:i4>
      </vt:variant>
      <vt:variant>
        <vt:i4>0</vt:i4>
      </vt:variant>
      <vt:variant>
        <vt:i4>0</vt:i4>
      </vt:variant>
      <vt:variant>
        <vt:i4>5</vt:i4>
      </vt:variant>
      <vt:variant>
        <vt:lpwstr>mailto:apprentissage@inra.fr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Directeur Général de l’Institut</dc:title>
  <dc:subject/>
  <dc:creator>merad</dc:creator>
  <cp:keywords/>
  <cp:lastModifiedBy>muriel jardet</cp:lastModifiedBy>
  <cp:revision>2</cp:revision>
  <cp:lastPrinted>2021-12-13T15:32:00Z</cp:lastPrinted>
  <dcterms:created xsi:type="dcterms:W3CDTF">2023-12-06T13:40:00Z</dcterms:created>
  <dcterms:modified xsi:type="dcterms:W3CDTF">2023-12-06T13:40:00Z</dcterms:modified>
</cp:coreProperties>
</file>